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27BB5D">
      <w:pPr>
        <w:jc w:val="center"/>
        <w:rPr>
          <w:rFonts w:ascii="仿宋" w:hAnsi="仿宋" w:eastAsia="仿宋"/>
          <w:sz w:val="44"/>
        </w:rPr>
      </w:pPr>
      <w:bookmarkStart w:id="0" w:name="_Toc337558727"/>
      <w:r>
        <w:rPr>
          <w:rFonts w:hint="eastAsia" w:ascii="仿宋" w:hAnsi="仿宋" w:eastAsia="仿宋"/>
          <w:sz w:val="44"/>
        </w:rPr>
        <w:t>建设工程施工合同</w:t>
      </w:r>
    </w:p>
    <w:p w14:paraId="288FBC23">
      <w:pPr>
        <w:jc w:val="center"/>
        <w:rPr>
          <w:rFonts w:ascii="仿宋" w:hAnsi="仿宋" w:eastAsia="仿宋"/>
          <w:sz w:val="30"/>
        </w:rPr>
      </w:pPr>
      <w:r>
        <w:rPr>
          <w:rFonts w:hint="eastAsia" w:ascii="仿宋" w:hAnsi="仿宋" w:eastAsia="仿宋"/>
          <w:sz w:val="30"/>
        </w:rPr>
        <w:t>合同编号：【】</w:t>
      </w:r>
    </w:p>
    <w:p w14:paraId="151FDFEA">
      <w:pPr>
        <w:jc w:val="left"/>
        <w:rPr>
          <w:rFonts w:ascii="仿宋" w:hAnsi="仿宋" w:eastAsia="仿宋"/>
          <w:sz w:val="30"/>
        </w:rPr>
      </w:pPr>
      <w:r>
        <w:rPr>
          <w:rFonts w:hint="eastAsia" w:ascii="仿宋" w:hAnsi="仿宋" w:eastAsia="仿宋"/>
          <w:sz w:val="30"/>
        </w:rPr>
        <w:t>工程名称：【滨江尚品综合养老服务中心项目装修】</w:t>
      </w:r>
    </w:p>
    <w:p w14:paraId="2F89CB8E">
      <w:pPr>
        <w:jc w:val="left"/>
        <w:rPr>
          <w:rFonts w:ascii="仿宋" w:hAnsi="仿宋" w:eastAsia="仿宋"/>
          <w:sz w:val="30"/>
        </w:rPr>
      </w:pPr>
      <w:r>
        <w:rPr>
          <w:rFonts w:hint="eastAsia" w:ascii="仿宋" w:hAnsi="仿宋" w:eastAsia="仿宋"/>
          <w:sz w:val="30"/>
        </w:rPr>
        <w:t>工程地点：永州市冷水滩区</w:t>
      </w:r>
    </w:p>
    <w:p w14:paraId="3BF40344">
      <w:pPr>
        <w:jc w:val="left"/>
        <w:rPr>
          <w:rFonts w:ascii="仿宋" w:hAnsi="仿宋" w:eastAsia="仿宋"/>
          <w:sz w:val="30"/>
        </w:rPr>
      </w:pPr>
      <w:r>
        <w:rPr>
          <w:rFonts w:hint="eastAsia" w:ascii="仿宋" w:hAnsi="仿宋" w:eastAsia="仿宋"/>
          <w:sz w:val="30"/>
        </w:rPr>
        <w:t>发包人：永州市城市发展集团有限责任公司</w:t>
      </w:r>
    </w:p>
    <w:p w14:paraId="1E084A5A">
      <w:pPr>
        <w:jc w:val="left"/>
        <w:rPr>
          <w:rFonts w:ascii="仿宋" w:hAnsi="仿宋" w:eastAsia="仿宋"/>
          <w:sz w:val="30"/>
        </w:rPr>
      </w:pPr>
      <w:r>
        <w:rPr>
          <w:rFonts w:hint="eastAsia" w:ascii="仿宋" w:hAnsi="仿宋" w:eastAsia="仿宋"/>
          <w:sz w:val="30"/>
        </w:rPr>
        <w:t>承包人：【】</w:t>
      </w:r>
    </w:p>
    <w:p w14:paraId="296BABCD">
      <w:pPr>
        <w:jc w:val="left"/>
        <w:rPr>
          <w:rFonts w:ascii="仿宋" w:hAnsi="仿宋" w:eastAsia="仿宋"/>
          <w:sz w:val="30"/>
        </w:rPr>
      </w:pPr>
      <w:r>
        <w:rPr>
          <w:rFonts w:hint="eastAsia" w:ascii="仿宋" w:hAnsi="仿宋" w:eastAsia="仿宋"/>
          <w:sz w:val="30"/>
        </w:rPr>
        <w:t>签署日期【】年【】月【】日</w:t>
      </w:r>
    </w:p>
    <w:p w14:paraId="63ACB153">
      <w:pPr>
        <w:jc w:val="left"/>
        <w:rPr>
          <w:rFonts w:ascii="宋体" w:hAnsi="宋体"/>
          <w:sz w:val="28"/>
        </w:rPr>
      </w:pPr>
    </w:p>
    <w:p w14:paraId="009D5943">
      <w:pPr>
        <w:jc w:val="left"/>
        <w:rPr>
          <w:rFonts w:ascii="宋体" w:hAnsi="宋体"/>
          <w:sz w:val="28"/>
        </w:rPr>
      </w:pPr>
    </w:p>
    <w:p w14:paraId="2739CEF8">
      <w:pPr>
        <w:jc w:val="left"/>
        <w:rPr>
          <w:rFonts w:ascii="宋体" w:hAnsi="宋体"/>
          <w:sz w:val="28"/>
        </w:rPr>
      </w:pPr>
    </w:p>
    <w:p w14:paraId="566E810B">
      <w:pPr>
        <w:jc w:val="left"/>
        <w:rPr>
          <w:rFonts w:ascii="宋体" w:hAnsi="宋体"/>
          <w:sz w:val="28"/>
        </w:rPr>
      </w:pPr>
    </w:p>
    <w:p w14:paraId="540940B8">
      <w:pPr>
        <w:ind w:firstLine="2520" w:firstLineChars="900"/>
        <w:jc w:val="left"/>
        <w:rPr>
          <w:rFonts w:ascii="宋体" w:hAnsi="宋体"/>
          <w:sz w:val="28"/>
        </w:rPr>
      </w:pPr>
      <w:r>
        <w:rPr>
          <w:rFonts w:hint="eastAsia" w:ascii="宋体" w:hAnsi="宋体"/>
          <w:sz w:val="28"/>
        </w:rPr>
        <w:t>住 房 城乡 建 设 部</w:t>
      </w:r>
    </w:p>
    <w:p w14:paraId="78A0A684">
      <w:pPr>
        <w:ind w:firstLine="5400" w:firstLineChars="1800"/>
        <w:jc w:val="left"/>
        <w:rPr>
          <w:rFonts w:ascii="宋体" w:hAnsi="宋体"/>
          <w:sz w:val="30"/>
        </w:rPr>
      </w:pPr>
      <w:r>
        <w:rPr>
          <w:rFonts w:hint="eastAsia" w:ascii="宋体" w:hAnsi="宋体"/>
          <w:sz w:val="30"/>
        </w:rPr>
        <w:t>制定</w:t>
      </w:r>
    </w:p>
    <w:p w14:paraId="37B74A1F">
      <w:pPr>
        <w:ind w:firstLine="2660" w:firstLineChars="950"/>
        <w:jc w:val="left"/>
        <w:rPr>
          <w:szCs w:val="21"/>
        </w:rPr>
      </w:pPr>
      <w:r>
        <w:rPr>
          <w:rFonts w:hint="eastAsia" w:ascii="宋体" w:hAnsi="宋体"/>
          <w:sz w:val="28"/>
        </w:rPr>
        <w:t>国家工商行政管理总局</w:t>
      </w:r>
    </w:p>
    <w:p w14:paraId="5F91BD74">
      <w:pPr>
        <w:spacing w:line="480" w:lineRule="exact"/>
        <w:jc w:val="left"/>
        <w:rPr>
          <w:sz w:val="24"/>
        </w:rPr>
      </w:pPr>
    </w:p>
    <w:bookmarkEnd w:id="0"/>
    <w:p w14:paraId="7F288572">
      <w:pPr>
        <w:spacing w:line="480" w:lineRule="exact"/>
        <w:jc w:val="center"/>
        <w:rPr>
          <w:sz w:val="32"/>
          <w:szCs w:val="32"/>
        </w:rPr>
      </w:pPr>
      <w:bookmarkStart w:id="1" w:name="_Toc351203632"/>
    </w:p>
    <w:p w14:paraId="4376E6C3">
      <w:pPr>
        <w:spacing w:line="480" w:lineRule="exact"/>
        <w:jc w:val="center"/>
        <w:rPr>
          <w:sz w:val="32"/>
          <w:szCs w:val="32"/>
        </w:rPr>
      </w:pPr>
    </w:p>
    <w:p w14:paraId="0966C1C4">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b/>
          <w:sz w:val="36"/>
          <w:szCs w:val="28"/>
        </w:rPr>
      </w:pPr>
      <w:bookmarkStart w:id="2" w:name="_Toc351203652"/>
    </w:p>
    <w:p w14:paraId="084B22F4">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b/>
          <w:sz w:val="36"/>
          <w:szCs w:val="28"/>
        </w:rPr>
      </w:pPr>
    </w:p>
    <w:p w14:paraId="72F2FD2C">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b/>
          <w:sz w:val="36"/>
          <w:szCs w:val="28"/>
        </w:rPr>
      </w:pPr>
    </w:p>
    <w:p w14:paraId="06867C5D">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b/>
          <w:sz w:val="36"/>
          <w:szCs w:val="28"/>
        </w:rPr>
      </w:pPr>
    </w:p>
    <w:p w14:paraId="197E4A61">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b/>
          <w:sz w:val="36"/>
          <w:szCs w:val="28"/>
        </w:rPr>
      </w:pPr>
    </w:p>
    <w:p w14:paraId="7BE02A20">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b/>
          <w:sz w:val="36"/>
          <w:szCs w:val="28"/>
        </w:rPr>
      </w:pPr>
    </w:p>
    <w:p w14:paraId="258AD443">
      <w:pPr>
        <w:pBdr>
          <w:top w:val="none" w:color="auto" w:sz="0" w:space="1"/>
          <w:left w:val="none" w:color="auto" w:sz="0" w:space="4"/>
          <w:bottom w:val="none" w:color="auto" w:sz="0" w:space="1"/>
          <w:right w:val="none" w:color="auto" w:sz="0" w:space="4"/>
        </w:pBdr>
        <w:spacing w:line="360" w:lineRule="exact"/>
        <w:rPr>
          <w:rFonts w:ascii="仿宋" w:hAnsi="仿宋" w:eastAsia="仿宋" w:cs="仿宋"/>
          <w:b/>
          <w:sz w:val="36"/>
          <w:szCs w:val="28"/>
        </w:rPr>
      </w:pPr>
    </w:p>
    <w:p w14:paraId="396D2613">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b/>
          <w:sz w:val="28"/>
          <w:szCs w:val="28"/>
        </w:rPr>
      </w:pPr>
      <w:r>
        <w:rPr>
          <w:rFonts w:hint="eastAsia" w:ascii="仿宋" w:hAnsi="仿宋" w:eastAsia="仿宋" w:cs="仿宋"/>
          <w:b/>
          <w:sz w:val="36"/>
          <w:szCs w:val="28"/>
        </w:rPr>
        <w:t>目    录</w:t>
      </w:r>
    </w:p>
    <w:p w14:paraId="3852567E">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b/>
          <w:sz w:val="28"/>
          <w:szCs w:val="28"/>
        </w:rPr>
      </w:pPr>
    </w:p>
    <w:p w14:paraId="4D2747FA">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sz w:val="28"/>
          <w:szCs w:val="28"/>
        </w:rPr>
      </w:pPr>
    </w:p>
    <w:p w14:paraId="41B89AB0">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一、合同协议书</w:t>
      </w:r>
    </w:p>
    <w:p w14:paraId="2A92246B">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二、通用合同条款</w:t>
      </w:r>
    </w:p>
    <w:p w14:paraId="292FE9C2">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三、专用合同条款</w:t>
      </w:r>
    </w:p>
    <w:p w14:paraId="6D111124">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四、工程质量保修书</w:t>
      </w:r>
    </w:p>
    <w:p w14:paraId="18823177">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五．建设工程廉政合同</w:t>
      </w:r>
    </w:p>
    <w:p w14:paraId="1B47C0E1">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六、安全生产协议</w:t>
      </w:r>
    </w:p>
    <w:p w14:paraId="52C0D5CC">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七、按期支付农民工工资合同</w:t>
      </w:r>
    </w:p>
    <w:p w14:paraId="4CCB32F3">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八、建筑工地文明施工承诺书</w:t>
      </w:r>
    </w:p>
    <w:p w14:paraId="315124A4">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九、中标通知书</w:t>
      </w:r>
    </w:p>
    <w:p w14:paraId="78A408D9">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十、合同审批单</w:t>
      </w:r>
    </w:p>
    <w:p w14:paraId="4C650E6B">
      <w:pPr>
        <w:pBdr>
          <w:top w:val="none" w:color="auto" w:sz="0" w:space="1"/>
          <w:left w:val="none" w:color="auto" w:sz="0" w:space="4"/>
          <w:bottom w:val="none" w:color="auto" w:sz="0" w:space="1"/>
          <w:right w:val="none" w:color="auto" w:sz="0" w:space="4"/>
        </w:pBdr>
        <w:spacing w:line="360" w:lineRule="exact"/>
        <w:ind w:firstLine="417" w:firstLineChars="149"/>
        <w:rPr>
          <w:rFonts w:ascii="仿宋" w:hAnsi="仿宋" w:eastAsia="仿宋" w:cs="仿宋"/>
          <w:sz w:val="28"/>
          <w:szCs w:val="28"/>
        </w:rPr>
      </w:pPr>
      <w:r>
        <w:rPr>
          <w:rFonts w:hint="eastAsia" w:ascii="仿宋" w:hAnsi="仿宋" w:eastAsia="仿宋" w:cs="仿宋"/>
          <w:sz w:val="28"/>
          <w:szCs w:val="28"/>
        </w:rPr>
        <w:t>附件：</w:t>
      </w:r>
    </w:p>
    <w:p w14:paraId="5334B5C1">
      <w:pPr>
        <w:pBdr>
          <w:top w:val="none" w:color="auto" w:sz="0" w:space="1"/>
          <w:left w:val="none" w:color="auto" w:sz="0" w:space="4"/>
          <w:bottom w:val="none" w:color="auto" w:sz="0" w:space="1"/>
          <w:right w:val="none" w:color="auto" w:sz="0" w:space="4"/>
        </w:pBdr>
        <w:spacing w:line="360" w:lineRule="exact"/>
        <w:ind w:firstLine="1120" w:firstLineChars="400"/>
        <w:rPr>
          <w:rFonts w:ascii="仿宋" w:hAnsi="仿宋" w:eastAsia="仿宋" w:cs="仿宋"/>
          <w:sz w:val="28"/>
          <w:szCs w:val="28"/>
        </w:rPr>
      </w:pPr>
      <w:r>
        <w:rPr>
          <w:rFonts w:hint="eastAsia" w:ascii="仿宋" w:hAnsi="仿宋" w:eastAsia="仿宋" w:cs="仿宋"/>
          <w:sz w:val="28"/>
          <w:szCs w:val="28"/>
        </w:rPr>
        <w:t>1.企业营业执照</w:t>
      </w:r>
    </w:p>
    <w:p w14:paraId="6FEF4CD5">
      <w:pPr>
        <w:pBdr>
          <w:top w:val="none" w:color="auto" w:sz="0" w:space="1"/>
          <w:left w:val="none" w:color="auto" w:sz="0" w:space="4"/>
          <w:bottom w:val="none" w:color="auto" w:sz="0" w:space="1"/>
          <w:right w:val="none" w:color="auto" w:sz="0" w:space="4"/>
        </w:pBdr>
        <w:spacing w:line="360" w:lineRule="exact"/>
        <w:ind w:firstLine="1120" w:firstLineChars="400"/>
        <w:rPr>
          <w:rFonts w:ascii="仿宋" w:hAnsi="仿宋" w:eastAsia="仿宋" w:cs="仿宋"/>
          <w:sz w:val="28"/>
          <w:szCs w:val="28"/>
        </w:rPr>
      </w:pPr>
      <w:r>
        <w:rPr>
          <w:rFonts w:hint="eastAsia" w:ascii="仿宋" w:hAnsi="仿宋" w:eastAsia="仿宋" w:cs="仿宋"/>
          <w:sz w:val="28"/>
          <w:szCs w:val="28"/>
        </w:rPr>
        <w:t>2.法定代表人身份证复印件</w:t>
      </w:r>
    </w:p>
    <w:p w14:paraId="6F00C357">
      <w:pPr>
        <w:pBdr>
          <w:top w:val="none" w:color="auto" w:sz="0" w:space="1"/>
          <w:left w:val="none" w:color="auto" w:sz="0" w:space="4"/>
          <w:bottom w:val="none" w:color="auto" w:sz="0" w:space="1"/>
          <w:right w:val="none" w:color="auto" w:sz="0" w:space="4"/>
        </w:pBdr>
        <w:spacing w:line="360" w:lineRule="exact"/>
        <w:ind w:firstLine="1120" w:firstLineChars="400"/>
        <w:rPr>
          <w:rFonts w:ascii="仿宋" w:hAnsi="仿宋" w:eastAsia="仿宋" w:cs="仿宋"/>
          <w:sz w:val="28"/>
          <w:szCs w:val="28"/>
        </w:rPr>
      </w:pPr>
      <w:r>
        <w:rPr>
          <w:rFonts w:hint="eastAsia" w:ascii="仿宋" w:hAnsi="仿宋" w:eastAsia="仿宋" w:cs="仿宋"/>
          <w:sz w:val="28"/>
          <w:szCs w:val="28"/>
        </w:rPr>
        <w:t>3.法定代表人委托授权书</w:t>
      </w:r>
    </w:p>
    <w:p w14:paraId="78606273">
      <w:pPr>
        <w:pBdr>
          <w:top w:val="none" w:color="auto" w:sz="0" w:space="1"/>
          <w:left w:val="none" w:color="auto" w:sz="0" w:space="4"/>
          <w:bottom w:val="none" w:color="auto" w:sz="0" w:space="1"/>
          <w:right w:val="none" w:color="auto" w:sz="0" w:space="4"/>
        </w:pBdr>
        <w:spacing w:line="360" w:lineRule="exact"/>
        <w:ind w:firstLine="1120" w:firstLineChars="400"/>
        <w:rPr>
          <w:rFonts w:ascii="宋体" w:hAnsi="宋体" w:cs="宋体"/>
          <w:szCs w:val="21"/>
        </w:rPr>
      </w:pPr>
      <w:r>
        <w:rPr>
          <w:rFonts w:hint="eastAsia" w:ascii="仿宋" w:hAnsi="仿宋" w:eastAsia="仿宋" w:cs="仿宋"/>
          <w:sz w:val="28"/>
          <w:szCs w:val="28"/>
        </w:rPr>
        <w:t>4.安全生产许可证</w:t>
      </w:r>
    </w:p>
    <w:p w14:paraId="712EC1F3">
      <w:pPr>
        <w:spacing w:line="360" w:lineRule="exact"/>
        <w:jc w:val="center"/>
        <w:rPr>
          <w:rFonts w:ascii="宋体" w:hAnsi="宋体" w:cs="宋体"/>
          <w:szCs w:val="21"/>
        </w:rPr>
      </w:pPr>
    </w:p>
    <w:p w14:paraId="76ECA629">
      <w:pPr>
        <w:pStyle w:val="3"/>
        <w:spacing w:line="360" w:lineRule="exact"/>
        <w:jc w:val="center"/>
        <w:rPr>
          <w:rFonts w:ascii="仿宋" w:hAnsi="仿宋" w:eastAsia="仿宋" w:cs="仿宋"/>
          <w:sz w:val="44"/>
          <w:szCs w:val="44"/>
        </w:rPr>
        <w:sectPr>
          <w:footerReference r:id="rId4" w:type="first"/>
          <w:footerReference r:id="rId3" w:type="default"/>
          <w:pgSz w:w="11906" w:h="16838"/>
          <w:pgMar w:top="1440" w:right="1800" w:bottom="1440" w:left="1800" w:header="851" w:footer="992" w:gutter="0"/>
          <w:cols w:space="720" w:num="1"/>
          <w:docGrid w:type="lines" w:linePitch="312" w:charSpace="0"/>
        </w:sectPr>
      </w:pPr>
      <w:bookmarkStart w:id="3" w:name="_Toc11371"/>
      <w:bookmarkStart w:id="4" w:name="_Toc487716153"/>
    </w:p>
    <w:p w14:paraId="562896B6">
      <w:pPr>
        <w:pStyle w:val="3"/>
        <w:spacing w:line="360" w:lineRule="exact"/>
        <w:jc w:val="center"/>
        <w:rPr>
          <w:rFonts w:ascii="仿宋" w:hAnsi="仿宋" w:eastAsia="仿宋" w:cs="仿宋"/>
          <w:sz w:val="36"/>
          <w:szCs w:val="44"/>
        </w:rPr>
      </w:pPr>
      <w:r>
        <w:rPr>
          <w:rFonts w:hint="eastAsia" w:ascii="仿宋" w:hAnsi="仿宋" w:eastAsia="仿宋" w:cs="仿宋"/>
          <w:sz w:val="36"/>
          <w:szCs w:val="44"/>
        </w:rPr>
        <w:t>第一部分  合同协议书</w:t>
      </w:r>
      <w:bookmarkEnd w:id="3"/>
      <w:bookmarkEnd w:id="4"/>
    </w:p>
    <w:p w14:paraId="2002EB5A">
      <w:pPr>
        <w:spacing w:line="360" w:lineRule="exact"/>
        <w:rPr>
          <w:rFonts w:ascii="宋体" w:hAnsi="宋体" w:cs="宋体"/>
          <w:szCs w:val="21"/>
        </w:rPr>
      </w:pPr>
    </w:p>
    <w:p w14:paraId="378EC22D">
      <w:pPr>
        <w:spacing w:line="360" w:lineRule="exact"/>
        <w:rPr>
          <w:rFonts w:ascii="仿宋" w:hAnsi="仿宋" w:eastAsia="仿宋" w:cs="仿宋"/>
          <w:sz w:val="28"/>
          <w:szCs w:val="28"/>
          <w:u w:val="single"/>
        </w:rPr>
      </w:pPr>
      <w:r>
        <w:rPr>
          <w:rFonts w:hint="eastAsia" w:ascii="仿宋" w:hAnsi="仿宋" w:eastAsia="仿宋" w:cs="仿宋"/>
          <w:sz w:val="28"/>
          <w:szCs w:val="28"/>
        </w:rPr>
        <w:t>发包人（全称）：</w:t>
      </w:r>
      <w:r>
        <w:rPr>
          <w:rFonts w:hint="eastAsia" w:ascii="仿宋" w:hAnsi="仿宋" w:eastAsia="仿宋" w:cs="仿宋"/>
          <w:sz w:val="28"/>
          <w:szCs w:val="28"/>
          <w:u w:val="single"/>
        </w:rPr>
        <w:t>　</w:t>
      </w:r>
      <w:r>
        <w:rPr>
          <w:rFonts w:hint="eastAsia" w:ascii="仿宋" w:hAnsi="仿宋" w:eastAsia="仿宋" w:cs="仿宋"/>
          <w:color w:val="FF0000"/>
          <w:sz w:val="28"/>
          <w:szCs w:val="28"/>
          <w:u w:val="single"/>
        </w:rPr>
        <w:t>永州市城市发展集团有限责任公司</w:t>
      </w:r>
      <w:r>
        <w:rPr>
          <w:rFonts w:hint="eastAsia" w:ascii="仿宋" w:hAnsi="仿宋" w:eastAsia="仿宋" w:cs="仿宋"/>
          <w:sz w:val="28"/>
          <w:szCs w:val="28"/>
          <w:u w:val="single"/>
        </w:rPr>
        <w:t>　</w:t>
      </w:r>
    </w:p>
    <w:p w14:paraId="3DA5A171">
      <w:pPr>
        <w:spacing w:line="360" w:lineRule="exact"/>
        <w:rPr>
          <w:rFonts w:ascii="仿宋" w:hAnsi="仿宋" w:eastAsia="仿宋" w:cs="仿宋"/>
          <w:sz w:val="28"/>
          <w:szCs w:val="28"/>
          <w:u w:val="single"/>
        </w:rPr>
      </w:pPr>
      <w:r>
        <w:rPr>
          <w:rFonts w:hint="eastAsia" w:ascii="仿宋" w:hAnsi="仿宋" w:eastAsia="仿宋" w:cs="仿宋"/>
          <w:sz w:val="28"/>
          <w:szCs w:val="28"/>
        </w:rPr>
        <w:t>承包人（全称）：</w:t>
      </w:r>
      <w:r>
        <w:rPr>
          <w:rFonts w:hint="eastAsia" w:ascii="仿宋" w:hAnsi="仿宋" w:eastAsia="仿宋" w:cs="仿宋"/>
          <w:sz w:val="28"/>
          <w:szCs w:val="28"/>
          <w:u w:val="single"/>
        </w:rPr>
        <w:t>【】</w:t>
      </w:r>
    </w:p>
    <w:p w14:paraId="28E7589B">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本合同的建设施工单位，经招标投标程序由本合同的承包人中标负责承建。根据《中华人民共和国民法典》、《中华人民共和国建筑法》及有关法律规定，遵循平等、自愿、公平和诚实信用的原则，双方就</w:t>
      </w:r>
      <w:r>
        <w:rPr>
          <w:rFonts w:hint="eastAsia" w:ascii="仿宋" w:hAnsi="仿宋" w:eastAsia="仿宋" w:cs="仿宋"/>
          <w:b/>
          <w:color w:val="FF0000"/>
          <w:sz w:val="28"/>
          <w:szCs w:val="28"/>
          <w:u w:val="single"/>
        </w:rPr>
        <w:t>【</w:t>
      </w:r>
      <w:r>
        <w:rPr>
          <w:rFonts w:hint="eastAsia" w:ascii="仿宋" w:hAnsi="仿宋" w:eastAsia="仿宋" w:cs="仿宋"/>
          <w:bCs/>
          <w:color w:val="FF0000"/>
          <w:sz w:val="28"/>
          <w:szCs w:val="28"/>
          <w:u w:val="single"/>
        </w:rPr>
        <w:t>滨江尚品综合养老服务中心项目装修</w:t>
      </w:r>
      <w:r>
        <w:rPr>
          <w:rFonts w:hint="eastAsia" w:ascii="仿宋" w:hAnsi="仿宋" w:eastAsia="仿宋" w:cs="仿宋"/>
          <w:b/>
          <w:color w:val="FF0000"/>
          <w:sz w:val="28"/>
          <w:szCs w:val="28"/>
          <w:u w:val="single"/>
        </w:rPr>
        <w:t>】</w:t>
      </w:r>
      <w:r>
        <w:rPr>
          <w:rFonts w:hint="eastAsia" w:ascii="仿宋" w:hAnsi="仿宋" w:eastAsia="仿宋" w:cs="仿宋"/>
          <w:sz w:val="28"/>
          <w:szCs w:val="28"/>
        </w:rPr>
        <w:t>工程施工及有关事项协商一致，共同达成如下协议：</w:t>
      </w:r>
    </w:p>
    <w:p w14:paraId="642D46D9">
      <w:pPr>
        <w:pStyle w:val="5"/>
        <w:spacing w:line="360" w:lineRule="exact"/>
        <w:rPr>
          <w:rFonts w:ascii="仿宋" w:hAnsi="仿宋" w:eastAsia="仿宋" w:cs="仿宋"/>
          <w:sz w:val="28"/>
          <w:szCs w:val="28"/>
        </w:rPr>
      </w:pPr>
      <w:bookmarkStart w:id="5" w:name="_Toc19835"/>
      <w:bookmarkStart w:id="6" w:name="_Toc487716154"/>
      <w:r>
        <w:rPr>
          <w:rFonts w:hint="eastAsia" w:ascii="仿宋" w:hAnsi="仿宋" w:eastAsia="仿宋" w:cs="仿宋"/>
          <w:sz w:val="28"/>
          <w:szCs w:val="28"/>
        </w:rPr>
        <w:t>一、工程概况</w:t>
      </w:r>
      <w:bookmarkEnd w:id="5"/>
      <w:bookmarkEnd w:id="6"/>
    </w:p>
    <w:p w14:paraId="28D8224C">
      <w:pPr>
        <w:spacing w:line="360" w:lineRule="exact"/>
        <w:ind w:firstLine="548" w:firstLineChars="196"/>
        <w:rPr>
          <w:rFonts w:ascii="仿宋" w:hAnsi="仿宋" w:eastAsia="仿宋" w:cs="仿宋"/>
          <w:sz w:val="28"/>
          <w:szCs w:val="28"/>
        </w:rPr>
      </w:pPr>
      <w:r>
        <w:rPr>
          <w:rFonts w:hint="eastAsia" w:ascii="仿宋" w:hAnsi="仿宋" w:eastAsia="仿宋" w:cs="仿宋"/>
          <w:sz w:val="28"/>
          <w:szCs w:val="28"/>
        </w:rPr>
        <w:t>1.工程名称：</w:t>
      </w:r>
      <w:r>
        <w:rPr>
          <w:rFonts w:hint="eastAsia" w:ascii="仿宋" w:hAnsi="仿宋" w:eastAsia="仿宋" w:cs="仿宋"/>
          <w:sz w:val="28"/>
          <w:szCs w:val="28"/>
          <w:u w:val="single"/>
        </w:rPr>
        <w:t xml:space="preserve"> </w:t>
      </w:r>
      <w:r>
        <w:rPr>
          <w:rFonts w:hint="eastAsia" w:ascii="仿宋" w:hAnsi="仿宋" w:eastAsia="仿宋"/>
          <w:color w:val="FF0000"/>
          <w:sz w:val="30"/>
          <w:u w:val="single"/>
        </w:rPr>
        <w:t>滨江尚品综合养老服务中心项目装修</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682D4834">
      <w:pPr>
        <w:ind w:firstLine="560" w:firstLineChars="200"/>
        <w:jc w:val="left"/>
        <w:rPr>
          <w:rFonts w:ascii="仿宋" w:hAnsi="仿宋" w:eastAsia="仿宋" w:cs="仿宋"/>
          <w:sz w:val="28"/>
          <w:szCs w:val="28"/>
        </w:rPr>
      </w:pPr>
      <w:r>
        <w:rPr>
          <w:rFonts w:hint="eastAsia" w:ascii="仿宋" w:hAnsi="仿宋" w:eastAsia="仿宋" w:cs="仿宋"/>
          <w:sz w:val="28"/>
          <w:szCs w:val="28"/>
        </w:rPr>
        <w:t>2.工程地点：</w:t>
      </w:r>
      <w:r>
        <w:rPr>
          <w:rFonts w:hint="eastAsia" w:ascii="仿宋" w:hAnsi="仿宋" w:eastAsia="仿宋"/>
          <w:sz w:val="30"/>
        </w:rPr>
        <w:t>永州市冷水滩区</w:t>
      </w:r>
      <w:r>
        <w:rPr>
          <w:rFonts w:hint="eastAsia" w:ascii="仿宋" w:hAnsi="仿宋" w:eastAsia="仿宋" w:cs="仿宋"/>
          <w:sz w:val="28"/>
          <w:szCs w:val="28"/>
        </w:rPr>
        <w:t>。</w:t>
      </w:r>
    </w:p>
    <w:p w14:paraId="528E4740">
      <w:pPr>
        <w:spacing w:line="360" w:lineRule="exact"/>
        <w:ind w:firstLine="548" w:firstLineChars="196"/>
        <w:rPr>
          <w:rFonts w:ascii="仿宋" w:hAnsi="仿宋" w:eastAsia="仿宋" w:cs="仿宋"/>
          <w:sz w:val="28"/>
          <w:szCs w:val="28"/>
        </w:rPr>
      </w:pPr>
      <w:r>
        <w:rPr>
          <w:rFonts w:hint="eastAsia" w:ascii="仿宋" w:hAnsi="仿宋" w:eastAsia="仿宋" w:cs="仿宋"/>
          <w:sz w:val="28"/>
          <w:szCs w:val="28"/>
        </w:rPr>
        <w:t>3.工程立项批准文号：</w:t>
      </w:r>
      <w:r>
        <w:rPr>
          <w:rFonts w:hint="eastAsia" w:ascii="仿宋" w:hAnsi="仿宋" w:eastAsia="仿宋" w:cs="仿宋"/>
          <w:sz w:val="28"/>
          <w:szCs w:val="28"/>
          <w:u w:val="single"/>
        </w:rPr>
        <w:t xml:space="preserve"> </w:t>
      </w:r>
      <w:r>
        <w:rPr>
          <w:rFonts w:hint="eastAsia" w:ascii="仿宋" w:hAnsi="仿宋" w:eastAsia="仿宋"/>
          <w:sz w:val="30"/>
          <w:u w:val="single"/>
        </w:rPr>
        <w:t>（</w:t>
      </w:r>
      <w:r>
        <w:rPr>
          <w:rFonts w:hint="eastAsia" w:ascii="仿宋" w:hAnsi="仿宋" w:eastAsia="仿宋"/>
          <w:color w:val="FF0000"/>
          <w:sz w:val="30"/>
          <w:u w:val="single"/>
        </w:rPr>
        <w:t>永发改备【2024】</w:t>
      </w:r>
      <w:r>
        <w:rPr>
          <w:rFonts w:hint="eastAsia" w:ascii="仿宋" w:hAnsi="仿宋" w:eastAsia="仿宋"/>
          <w:color w:val="FF0000"/>
          <w:sz w:val="30"/>
          <w:u w:val="single"/>
          <w:lang w:val="en-US" w:eastAsia="zh-CN"/>
        </w:rPr>
        <w:t>22</w:t>
      </w:r>
      <w:r>
        <w:rPr>
          <w:rFonts w:hint="eastAsia" w:ascii="仿宋" w:hAnsi="仿宋" w:eastAsia="仿宋"/>
          <w:color w:val="FF0000"/>
          <w:sz w:val="30"/>
          <w:u w:val="single"/>
        </w:rPr>
        <w:t>号）文件</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0476525E">
      <w:pPr>
        <w:spacing w:line="360" w:lineRule="exact"/>
        <w:ind w:firstLine="548" w:firstLineChars="196"/>
        <w:rPr>
          <w:rFonts w:ascii="仿宋" w:hAnsi="仿宋" w:eastAsia="仿宋" w:cs="仿宋"/>
          <w:sz w:val="28"/>
          <w:szCs w:val="28"/>
        </w:rPr>
      </w:pPr>
      <w:r>
        <w:rPr>
          <w:rFonts w:hint="eastAsia" w:ascii="仿宋" w:hAnsi="仿宋" w:eastAsia="仿宋" w:cs="仿宋"/>
          <w:sz w:val="28"/>
          <w:szCs w:val="28"/>
        </w:rPr>
        <w:t>4.资金来源：</w:t>
      </w:r>
      <w:r>
        <w:rPr>
          <w:rFonts w:hint="eastAsia" w:ascii="仿宋" w:hAnsi="仿宋" w:eastAsia="仿宋" w:cs="仿宋"/>
          <w:sz w:val="28"/>
          <w:szCs w:val="28"/>
          <w:u w:val="single"/>
        </w:rPr>
        <w:t>自筹</w:t>
      </w:r>
      <w:r>
        <w:rPr>
          <w:rFonts w:hint="eastAsia" w:ascii="仿宋" w:hAnsi="仿宋" w:eastAsia="仿宋" w:cs="仿宋"/>
          <w:sz w:val="28"/>
          <w:szCs w:val="28"/>
        </w:rPr>
        <w:t>。</w:t>
      </w:r>
    </w:p>
    <w:p w14:paraId="0B80A05F">
      <w:pPr>
        <w:spacing w:line="360" w:lineRule="exact"/>
        <w:ind w:firstLine="548" w:firstLineChars="196"/>
        <w:rPr>
          <w:rFonts w:ascii="仿宋" w:hAnsi="仿宋" w:eastAsia="仿宋" w:cs="仿宋"/>
          <w:sz w:val="28"/>
          <w:szCs w:val="28"/>
        </w:rPr>
      </w:pPr>
      <w:bookmarkStart w:id="7" w:name="_Toc14452"/>
      <w:r>
        <w:rPr>
          <w:rFonts w:hint="eastAsia" w:ascii="仿宋" w:hAnsi="仿宋" w:eastAsia="仿宋" w:cs="仿宋"/>
          <w:sz w:val="28"/>
          <w:szCs w:val="28"/>
        </w:rPr>
        <w:t>5.工程内容：具体详见发包人提供的施工图及工程量清单。群体工程应附《承包人承揽工程项目一览表》。</w:t>
      </w:r>
    </w:p>
    <w:p w14:paraId="6213CD74">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6.工程承包范围：</w:t>
      </w:r>
      <w:r>
        <w:rPr>
          <w:rFonts w:hint="eastAsia" w:ascii="仿宋" w:hAnsi="仿宋" w:eastAsia="仿宋" w:cs="仿宋"/>
          <w:color w:val="FF0000"/>
          <w:sz w:val="28"/>
          <w:szCs w:val="28"/>
          <w:u w:val="single"/>
        </w:rPr>
        <w:t>本项目施工总承包范围内的所有内容，以招标人提供的</w:t>
      </w:r>
      <w:r>
        <w:rPr>
          <w:rFonts w:hint="eastAsia" w:ascii="仿宋" w:hAnsi="仿宋" w:eastAsia="仿宋" w:cs="仿宋"/>
          <w:color w:val="FF0000"/>
          <w:sz w:val="28"/>
          <w:szCs w:val="28"/>
          <w:u w:val="single"/>
          <w:lang w:eastAsia="zh-CN"/>
        </w:rPr>
        <w:t>预算</w:t>
      </w:r>
      <w:r>
        <w:rPr>
          <w:rFonts w:hint="eastAsia" w:ascii="仿宋" w:hAnsi="仿宋" w:eastAsia="仿宋" w:cs="仿宋"/>
          <w:color w:val="FF0000"/>
          <w:sz w:val="28"/>
          <w:szCs w:val="28"/>
          <w:u w:val="single"/>
        </w:rPr>
        <w:t>工程量清单与施工图纸为准，最终结算按实际完成量计算，包括但不限于以下事项：工程施工、设备采购、调试与试运行、工程竣工验收、备案、交付、工程结（决）算、工程保修等；协助招标人办理工程建设各阶段报批、报建、报审、报验工作</w:t>
      </w:r>
      <w:r>
        <w:rPr>
          <w:rFonts w:hint="eastAsia" w:ascii="仿宋" w:hAnsi="仿宋" w:eastAsia="仿宋" w:cs="仿宋"/>
          <w:sz w:val="28"/>
          <w:szCs w:val="28"/>
        </w:rPr>
        <w:t>。具体详见发包人提供的施工图及工程量清单。</w:t>
      </w:r>
    </w:p>
    <w:bookmarkEnd w:id="7"/>
    <w:p w14:paraId="05FCFD94">
      <w:pPr>
        <w:pStyle w:val="5"/>
        <w:spacing w:line="360" w:lineRule="exact"/>
        <w:rPr>
          <w:rFonts w:ascii="仿宋" w:hAnsi="仿宋" w:eastAsia="仿宋" w:cs="仿宋"/>
          <w:sz w:val="28"/>
          <w:szCs w:val="28"/>
        </w:rPr>
      </w:pPr>
      <w:bookmarkStart w:id="8" w:name="_Toc401777825"/>
      <w:bookmarkStart w:id="9" w:name="_Toc401788562"/>
      <w:bookmarkStart w:id="10" w:name="_Toc401779774"/>
      <w:bookmarkStart w:id="11" w:name="_Toc401780096"/>
      <w:bookmarkStart w:id="12" w:name="_Toc24419"/>
      <w:r>
        <w:rPr>
          <w:rFonts w:hint="eastAsia" w:ascii="仿宋" w:hAnsi="仿宋" w:eastAsia="仿宋" w:cs="仿宋"/>
          <w:sz w:val="28"/>
          <w:szCs w:val="28"/>
        </w:rPr>
        <w:t>二、合同工期</w:t>
      </w:r>
      <w:bookmarkEnd w:id="8"/>
      <w:bookmarkEnd w:id="9"/>
      <w:bookmarkEnd w:id="10"/>
      <w:bookmarkEnd w:id="11"/>
    </w:p>
    <w:p w14:paraId="15A737D1">
      <w:pPr>
        <w:widowControl/>
        <w:spacing w:line="360" w:lineRule="exact"/>
        <w:ind w:firstLine="560" w:firstLineChars="200"/>
        <w:rPr>
          <w:rFonts w:ascii="仿宋" w:hAnsi="仿宋" w:eastAsia="仿宋" w:cs="仿宋"/>
          <w:bCs/>
          <w:sz w:val="28"/>
          <w:szCs w:val="28"/>
        </w:rPr>
      </w:pPr>
      <w:r>
        <w:rPr>
          <w:rFonts w:hint="eastAsia" w:ascii="仿宋" w:hAnsi="仿宋" w:eastAsia="仿宋" w:cs="仿宋"/>
          <w:bCs/>
          <w:kern w:val="0"/>
          <w:sz w:val="28"/>
          <w:szCs w:val="28"/>
        </w:rPr>
        <w:t>工期要求：计划</w:t>
      </w:r>
      <w:r>
        <w:rPr>
          <w:rFonts w:hint="eastAsia" w:ascii="仿宋" w:hAnsi="仿宋" w:eastAsia="仿宋" w:cs="仿宋"/>
          <w:bCs/>
          <w:sz w:val="28"/>
          <w:szCs w:val="28"/>
        </w:rPr>
        <w:t>开工日期：</w:t>
      </w:r>
      <w:r>
        <w:rPr>
          <w:rFonts w:hint="eastAsia" w:ascii="仿宋" w:hAnsi="仿宋" w:eastAsia="仿宋" w:cs="仿宋"/>
          <w:bCs/>
          <w:sz w:val="28"/>
          <w:szCs w:val="28"/>
          <w:u w:val="single"/>
        </w:rPr>
        <w:t>【】</w:t>
      </w:r>
      <w:r>
        <w:rPr>
          <w:rFonts w:hint="eastAsia" w:ascii="仿宋" w:hAnsi="仿宋" w:eastAsia="仿宋" w:cs="仿宋"/>
          <w:bCs/>
          <w:sz w:val="28"/>
          <w:szCs w:val="28"/>
        </w:rPr>
        <w:t>年</w:t>
      </w:r>
      <w:r>
        <w:rPr>
          <w:rFonts w:hint="eastAsia" w:ascii="仿宋" w:hAnsi="仿宋" w:eastAsia="仿宋" w:cs="仿宋"/>
          <w:bCs/>
          <w:sz w:val="28"/>
          <w:szCs w:val="28"/>
          <w:u w:val="single"/>
        </w:rPr>
        <w:t>【】</w:t>
      </w:r>
      <w:r>
        <w:rPr>
          <w:rFonts w:hint="eastAsia" w:ascii="仿宋" w:hAnsi="仿宋" w:eastAsia="仿宋" w:cs="仿宋"/>
          <w:bCs/>
          <w:sz w:val="28"/>
          <w:szCs w:val="28"/>
        </w:rPr>
        <w:t>月</w:t>
      </w:r>
      <w:r>
        <w:rPr>
          <w:rFonts w:hint="eastAsia" w:ascii="仿宋" w:hAnsi="仿宋" w:eastAsia="仿宋" w:cs="仿宋"/>
          <w:bCs/>
          <w:sz w:val="28"/>
          <w:szCs w:val="28"/>
          <w:u w:val="single"/>
        </w:rPr>
        <w:t>【】</w:t>
      </w:r>
      <w:r>
        <w:rPr>
          <w:rFonts w:hint="eastAsia" w:ascii="仿宋" w:hAnsi="仿宋" w:eastAsia="仿宋" w:cs="仿宋"/>
          <w:bCs/>
          <w:sz w:val="28"/>
          <w:szCs w:val="28"/>
        </w:rPr>
        <w:t>日（具体开工日期以开工令载明的时间为准。）计划竣工日期：</w:t>
      </w:r>
      <w:r>
        <w:rPr>
          <w:rFonts w:hint="eastAsia" w:ascii="仿宋" w:hAnsi="仿宋" w:eastAsia="仿宋" w:cs="仿宋"/>
          <w:bCs/>
          <w:sz w:val="28"/>
          <w:szCs w:val="28"/>
          <w:u w:val="single"/>
        </w:rPr>
        <w:t>【】</w:t>
      </w:r>
      <w:r>
        <w:rPr>
          <w:rFonts w:hint="eastAsia" w:ascii="仿宋" w:hAnsi="仿宋" w:eastAsia="仿宋" w:cs="仿宋"/>
          <w:bCs/>
          <w:sz w:val="28"/>
          <w:szCs w:val="28"/>
        </w:rPr>
        <w:t>年</w:t>
      </w:r>
      <w:r>
        <w:rPr>
          <w:rFonts w:hint="eastAsia" w:ascii="仿宋" w:hAnsi="仿宋" w:eastAsia="仿宋" w:cs="仿宋"/>
          <w:bCs/>
          <w:sz w:val="28"/>
          <w:szCs w:val="28"/>
          <w:u w:val="single"/>
        </w:rPr>
        <w:t>【】</w:t>
      </w:r>
      <w:r>
        <w:rPr>
          <w:rFonts w:hint="eastAsia" w:ascii="仿宋" w:hAnsi="仿宋" w:eastAsia="仿宋" w:cs="仿宋"/>
          <w:bCs/>
          <w:sz w:val="28"/>
          <w:szCs w:val="28"/>
        </w:rPr>
        <w:t>月</w:t>
      </w:r>
      <w:r>
        <w:rPr>
          <w:rFonts w:hint="eastAsia" w:ascii="仿宋" w:hAnsi="仿宋" w:eastAsia="仿宋" w:cs="仿宋"/>
          <w:bCs/>
          <w:sz w:val="28"/>
          <w:szCs w:val="28"/>
          <w:u w:val="single"/>
        </w:rPr>
        <w:t>【】</w:t>
      </w:r>
      <w:r>
        <w:rPr>
          <w:rFonts w:hint="eastAsia" w:ascii="仿宋" w:hAnsi="仿宋" w:eastAsia="仿宋" w:cs="仿宋"/>
          <w:bCs/>
          <w:sz w:val="28"/>
          <w:szCs w:val="28"/>
        </w:rPr>
        <w:t>日。</w:t>
      </w:r>
    </w:p>
    <w:p w14:paraId="4F855C10">
      <w:pPr>
        <w:widowControl/>
        <w:spacing w:line="360" w:lineRule="exact"/>
        <w:ind w:firstLine="560" w:firstLineChars="200"/>
        <w:rPr>
          <w:rFonts w:ascii="仿宋" w:hAnsi="仿宋" w:eastAsia="仿宋" w:cs="仿宋"/>
          <w:bCs/>
          <w:kern w:val="0"/>
          <w:sz w:val="28"/>
          <w:szCs w:val="28"/>
        </w:rPr>
      </w:pPr>
      <w:r>
        <w:rPr>
          <w:rFonts w:hint="eastAsia" w:ascii="仿宋" w:hAnsi="仿宋" w:eastAsia="仿宋" w:cs="仿宋"/>
          <w:bCs/>
          <w:sz w:val="28"/>
          <w:szCs w:val="28"/>
        </w:rPr>
        <w:t>工期总日历天数：</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5</w:t>
      </w:r>
      <w:r>
        <w:rPr>
          <w:rFonts w:hint="eastAsia" w:ascii="仿宋" w:hAnsi="仿宋" w:eastAsia="仿宋" w:cs="仿宋"/>
          <w:bCs/>
          <w:sz w:val="28"/>
          <w:szCs w:val="28"/>
          <w:u w:val="single"/>
        </w:rPr>
        <w:t xml:space="preserve">0 </w:t>
      </w:r>
      <w:r>
        <w:rPr>
          <w:rFonts w:hint="eastAsia" w:ascii="仿宋" w:hAnsi="仿宋" w:eastAsia="仿宋" w:cs="仿宋"/>
          <w:bCs/>
          <w:sz w:val="28"/>
          <w:szCs w:val="28"/>
        </w:rPr>
        <w:t>。工期总日历天数与根据前述计划开竣工日期计算的工期天数不一致的，以工期总日历天数为准。</w:t>
      </w:r>
    </w:p>
    <w:p w14:paraId="0CB3F035">
      <w:pPr>
        <w:pStyle w:val="5"/>
        <w:spacing w:line="360" w:lineRule="exact"/>
        <w:rPr>
          <w:rFonts w:ascii="仿宋" w:hAnsi="仿宋" w:eastAsia="仿宋" w:cs="仿宋"/>
          <w:sz w:val="28"/>
          <w:szCs w:val="28"/>
        </w:rPr>
      </w:pPr>
      <w:bookmarkStart w:id="13" w:name="_Toc401780097"/>
      <w:bookmarkStart w:id="14" w:name="_Toc401779775"/>
      <w:bookmarkStart w:id="15" w:name="_Toc401777826"/>
      <w:bookmarkStart w:id="16" w:name="_Toc401788563"/>
      <w:r>
        <w:rPr>
          <w:rFonts w:hint="eastAsia" w:ascii="仿宋" w:hAnsi="仿宋" w:eastAsia="仿宋" w:cs="仿宋"/>
          <w:sz w:val="28"/>
          <w:szCs w:val="28"/>
        </w:rPr>
        <w:t>三、质量标准</w:t>
      </w:r>
      <w:bookmarkEnd w:id="13"/>
      <w:bookmarkEnd w:id="14"/>
      <w:bookmarkEnd w:id="15"/>
      <w:bookmarkEnd w:id="16"/>
    </w:p>
    <w:p w14:paraId="37CE0BFF">
      <w:pPr>
        <w:spacing w:line="360" w:lineRule="exact"/>
        <w:ind w:firstLine="560" w:firstLineChars="200"/>
        <w:rPr>
          <w:rFonts w:ascii="仿宋" w:hAnsi="仿宋" w:eastAsia="仿宋" w:cs="仿宋"/>
          <w:bCs/>
          <w:kern w:val="0"/>
          <w:sz w:val="28"/>
          <w:szCs w:val="28"/>
        </w:rPr>
      </w:pPr>
      <w:r>
        <w:rPr>
          <w:rFonts w:hint="eastAsia" w:ascii="仿宋" w:hAnsi="仿宋" w:eastAsia="仿宋" w:cs="仿宋"/>
          <w:bCs/>
          <w:kern w:val="0"/>
          <w:sz w:val="28"/>
          <w:szCs w:val="28"/>
        </w:rPr>
        <w:t>工程质量符合</w:t>
      </w:r>
      <w:r>
        <w:rPr>
          <w:rFonts w:hint="eastAsia" w:ascii="仿宋" w:hAnsi="仿宋" w:eastAsia="仿宋" w:cs="仿宋"/>
          <w:bCs/>
          <w:sz w:val="28"/>
          <w:szCs w:val="28"/>
          <w:u w:val="single"/>
        </w:rPr>
        <w:t>《工程施工质量验收规范》要求，达到合格工程</w:t>
      </w:r>
      <w:r>
        <w:rPr>
          <w:rFonts w:hint="eastAsia" w:ascii="仿宋" w:hAnsi="仿宋" w:eastAsia="仿宋" w:cs="仿宋"/>
          <w:bCs/>
          <w:kern w:val="0"/>
          <w:sz w:val="28"/>
          <w:szCs w:val="28"/>
          <w:u w:val="single"/>
        </w:rPr>
        <w:t>标准</w:t>
      </w:r>
      <w:r>
        <w:rPr>
          <w:rFonts w:hint="eastAsia" w:ascii="仿宋" w:hAnsi="仿宋" w:eastAsia="仿宋" w:cs="仿宋"/>
          <w:bCs/>
          <w:kern w:val="0"/>
          <w:sz w:val="28"/>
          <w:szCs w:val="28"/>
        </w:rPr>
        <w:t>。</w:t>
      </w:r>
    </w:p>
    <w:p w14:paraId="4E3442BA">
      <w:pPr>
        <w:pStyle w:val="5"/>
        <w:spacing w:line="360" w:lineRule="exact"/>
        <w:rPr>
          <w:rFonts w:ascii="仿宋" w:hAnsi="仿宋" w:eastAsia="仿宋" w:cs="仿宋"/>
          <w:sz w:val="28"/>
          <w:szCs w:val="28"/>
        </w:rPr>
      </w:pPr>
      <w:bookmarkStart w:id="17" w:name="_Toc401780098"/>
      <w:bookmarkStart w:id="18" w:name="_Toc401779776"/>
      <w:bookmarkStart w:id="19" w:name="_Toc401777827"/>
      <w:bookmarkStart w:id="20" w:name="_Toc401788564"/>
      <w:r>
        <w:rPr>
          <w:rFonts w:hint="eastAsia" w:ascii="仿宋" w:hAnsi="仿宋" w:eastAsia="仿宋" w:cs="仿宋"/>
          <w:sz w:val="28"/>
          <w:szCs w:val="28"/>
        </w:rPr>
        <w:t>四、签约合同价与合同价格形式</w:t>
      </w:r>
      <w:bookmarkEnd w:id="17"/>
      <w:bookmarkEnd w:id="18"/>
      <w:bookmarkEnd w:id="19"/>
      <w:bookmarkEnd w:id="20"/>
    </w:p>
    <w:p w14:paraId="73735B39">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1.签约合同价为：</w:t>
      </w:r>
    </w:p>
    <w:p w14:paraId="1FC37642">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人民币（大写）</w:t>
      </w:r>
      <w:r>
        <w:rPr>
          <w:rFonts w:hint="eastAsia" w:ascii="仿宋" w:hAnsi="仿宋" w:eastAsia="仿宋" w:cs="仿宋"/>
          <w:kern w:val="0"/>
          <w:sz w:val="28"/>
          <w:szCs w:val="28"/>
          <w:u w:val="single"/>
        </w:rPr>
        <w:t>【】</w:t>
      </w:r>
      <w:r>
        <w:rPr>
          <w:rFonts w:hint="eastAsia" w:ascii="仿宋" w:hAnsi="仿宋" w:eastAsia="仿宋" w:cs="仿宋"/>
          <w:kern w:val="0"/>
          <w:sz w:val="28"/>
          <w:szCs w:val="28"/>
        </w:rPr>
        <w:t>（￥【】元）；</w:t>
      </w:r>
    </w:p>
    <w:p w14:paraId="7989262F">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其中：</w:t>
      </w:r>
    </w:p>
    <w:p w14:paraId="369704AE">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其中：</w:t>
      </w:r>
    </w:p>
    <w:p w14:paraId="7F6CCFA0">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（1）安全文明施工费：</w:t>
      </w:r>
    </w:p>
    <w:p w14:paraId="14D01B4D">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人民币（大写）               (¥          元)；</w:t>
      </w:r>
    </w:p>
    <w:p w14:paraId="53DDB3A6">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（2）材料和工程设备暂估价金额：</w:t>
      </w:r>
    </w:p>
    <w:p w14:paraId="3645CDCF">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人民币（大写）               (¥          元)；</w:t>
      </w:r>
    </w:p>
    <w:p w14:paraId="264241E8">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（3）专业工程暂估价金额：</w:t>
      </w:r>
    </w:p>
    <w:p w14:paraId="3D58C98F">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人民币（大写）               (¥          元)；</w:t>
      </w:r>
    </w:p>
    <w:p w14:paraId="23EBD576">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（4）暂列金额：</w:t>
      </w:r>
    </w:p>
    <w:p w14:paraId="637DDAE3">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人民币（大写）               (¥          元)。</w:t>
      </w:r>
    </w:p>
    <w:p w14:paraId="5FA3B892">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2.合同价格形式</w:t>
      </w:r>
      <w:r>
        <w:rPr>
          <w:rFonts w:hint="eastAsia" w:ascii="仿宋" w:hAnsi="仿宋" w:eastAsia="仿宋" w:cs="仿宋"/>
          <w:kern w:val="0"/>
          <w:sz w:val="28"/>
          <w:szCs w:val="28"/>
          <w:highlight w:val="none"/>
        </w:rPr>
        <w:t>：单价合同。</w:t>
      </w:r>
    </w:p>
    <w:p w14:paraId="0FBEFBFC">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最终结算根据实际完成的合格工作量并经甲方审核金额为准，若审核金额超过中标价以中标价包干，反之以甲方审核金额为准。投标人投标报价时，应根据施工设计图纸综合考虑清单投标价格等风险。</w:t>
      </w:r>
    </w:p>
    <w:p w14:paraId="16F6AEC2">
      <w:pPr>
        <w:pStyle w:val="5"/>
        <w:spacing w:line="360" w:lineRule="exact"/>
        <w:rPr>
          <w:rFonts w:ascii="仿宋" w:hAnsi="仿宋" w:eastAsia="仿宋" w:cs="仿宋"/>
          <w:sz w:val="28"/>
          <w:szCs w:val="28"/>
        </w:rPr>
      </w:pPr>
      <w:r>
        <w:rPr>
          <w:rFonts w:hint="eastAsia" w:ascii="仿宋" w:hAnsi="仿宋" w:eastAsia="仿宋" w:cs="仿宋"/>
          <w:sz w:val="28"/>
          <w:szCs w:val="28"/>
        </w:rPr>
        <w:t>五、项目经理</w:t>
      </w:r>
    </w:p>
    <w:p w14:paraId="315E6549">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承包人项目经理：</w:t>
      </w:r>
      <w:r>
        <w:rPr>
          <w:rFonts w:hint="eastAsia" w:ascii="仿宋" w:hAnsi="仿宋" w:eastAsia="仿宋" w:cs="仿宋"/>
          <w:spacing w:val="-2"/>
          <w:sz w:val="28"/>
          <w:szCs w:val="28"/>
          <w:u w:val="single" w:color="000000"/>
        </w:rPr>
        <w:t>【】</w:t>
      </w:r>
      <w:r>
        <w:rPr>
          <w:rFonts w:hint="eastAsia" w:ascii="仿宋" w:hAnsi="仿宋" w:eastAsia="仿宋" w:cs="仿宋"/>
          <w:kern w:val="0"/>
          <w:sz w:val="28"/>
          <w:szCs w:val="28"/>
        </w:rPr>
        <w:t>。</w:t>
      </w:r>
    </w:p>
    <w:p w14:paraId="2E4B95A2">
      <w:pPr>
        <w:pStyle w:val="5"/>
        <w:spacing w:line="360" w:lineRule="exact"/>
        <w:rPr>
          <w:rFonts w:ascii="仿宋" w:hAnsi="仿宋" w:eastAsia="仿宋" w:cs="仿宋"/>
          <w:sz w:val="28"/>
          <w:szCs w:val="28"/>
        </w:rPr>
      </w:pPr>
      <w:bookmarkStart w:id="21" w:name="_Toc401779778"/>
      <w:bookmarkStart w:id="22" w:name="_Toc401788566"/>
      <w:bookmarkStart w:id="23" w:name="_Toc401777829"/>
      <w:bookmarkStart w:id="24" w:name="_Toc401780100"/>
      <w:r>
        <w:rPr>
          <w:rFonts w:hint="eastAsia" w:ascii="仿宋" w:hAnsi="仿宋" w:eastAsia="仿宋" w:cs="仿宋"/>
          <w:sz w:val="28"/>
          <w:szCs w:val="28"/>
        </w:rPr>
        <w:t>六、合同文件构成</w:t>
      </w:r>
      <w:bookmarkEnd w:id="21"/>
      <w:bookmarkEnd w:id="22"/>
      <w:bookmarkEnd w:id="23"/>
      <w:bookmarkEnd w:id="24"/>
    </w:p>
    <w:p w14:paraId="08DAB6FD">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本协议书与下列文件一起构成合同文件：</w:t>
      </w:r>
    </w:p>
    <w:p w14:paraId="26161C56">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（1）招标文件；</w:t>
      </w:r>
    </w:p>
    <w:p w14:paraId="7B2E73AB">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（2）投标函及投标函附录；</w:t>
      </w:r>
    </w:p>
    <w:p w14:paraId="66FF502C">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（3）中标通知书；</w:t>
      </w:r>
    </w:p>
    <w:p w14:paraId="0D208115">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（4）合同协议书；</w:t>
      </w:r>
    </w:p>
    <w:p w14:paraId="1CB0E490">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（5）专用合同条款</w:t>
      </w:r>
    </w:p>
    <w:p w14:paraId="66C1CA46">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（6）通用合同条款；</w:t>
      </w:r>
    </w:p>
    <w:p w14:paraId="0CA4A899">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（7）技术标准和要求；</w:t>
      </w:r>
    </w:p>
    <w:p w14:paraId="766D125E">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（8）图纸；</w:t>
      </w:r>
    </w:p>
    <w:p w14:paraId="1E2756EB">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（9）已标价工程量清单；</w:t>
      </w:r>
    </w:p>
    <w:p w14:paraId="208AD109">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（10）其他合同文件。</w:t>
      </w:r>
    </w:p>
    <w:p w14:paraId="53C8D925">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在合同订立及履行过程中形成的与合同有关的文件均构成合同文件组成部分。上述各项合同文件包括合同当事人就该项合同文件所作出的补充和修改，属于同一类内容的文件，应以最新签署的为准。专用合同条款及其附件须经合同当事人签字或盖章。</w:t>
      </w:r>
    </w:p>
    <w:p w14:paraId="272917A5">
      <w:pPr>
        <w:pStyle w:val="5"/>
        <w:spacing w:line="360" w:lineRule="exact"/>
        <w:rPr>
          <w:rFonts w:ascii="仿宋" w:hAnsi="仿宋" w:eastAsia="仿宋" w:cs="仿宋"/>
          <w:sz w:val="28"/>
          <w:szCs w:val="28"/>
        </w:rPr>
      </w:pPr>
      <w:bookmarkStart w:id="25" w:name="_Toc401779779"/>
      <w:bookmarkStart w:id="26" w:name="_Toc401777830"/>
      <w:bookmarkStart w:id="27" w:name="_Toc401788567"/>
      <w:bookmarkStart w:id="28" w:name="_Toc401780101"/>
      <w:r>
        <w:rPr>
          <w:rFonts w:hint="eastAsia" w:ascii="仿宋" w:hAnsi="仿宋" w:eastAsia="仿宋" w:cs="仿宋"/>
          <w:sz w:val="28"/>
          <w:szCs w:val="28"/>
        </w:rPr>
        <w:t>七、承诺</w:t>
      </w:r>
      <w:bookmarkEnd w:id="25"/>
      <w:bookmarkEnd w:id="26"/>
      <w:bookmarkEnd w:id="27"/>
      <w:bookmarkEnd w:id="28"/>
    </w:p>
    <w:p w14:paraId="76043349">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1.发包人承诺按照法律规定履行项目审批手续、筹集工程建设资金并按照合同约定的期限和方式支付合同价款。</w:t>
      </w:r>
    </w:p>
    <w:p w14:paraId="10735C4B">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2.承包人承诺按照法律规定及合同约定组织完成工程施工，确保工程质量和安全，不进行转包、变相转包及违法分包，并在缺陷责任期及保修期内承担相应的工程维修责任。</w:t>
      </w:r>
    </w:p>
    <w:p w14:paraId="5B787672">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3.发包人和承包人通过招投标形式签订合同的，双方理解并承诺不再就同一工程另行签订与合同实质性内容相背离的协议。</w:t>
      </w:r>
    </w:p>
    <w:p w14:paraId="61982010">
      <w:pPr>
        <w:pStyle w:val="5"/>
        <w:spacing w:line="360" w:lineRule="exact"/>
        <w:rPr>
          <w:rFonts w:ascii="仿宋" w:hAnsi="仿宋" w:eastAsia="仿宋" w:cs="仿宋"/>
          <w:sz w:val="28"/>
          <w:szCs w:val="28"/>
        </w:rPr>
      </w:pPr>
      <w:bookmarkStart w:id="29" w:name="_Toc401788568"/>
      <w:bookmarkStart w:id="30" w:name="_Toc401780102"/>
      <w:bookmarkStart w:id="31" w:name="_Toc401779780"/>
      <w:bookmarkStart w:id="32" w:name="_Toc401777831"/>
      <w:r>
        <w:rPr>
          <w:rFonts w:hint="eastAsia" w:ascii="仿宋" w:hAnsi="仿宋" w:eastAsia="仿宋" w:cs="仿宋"/>
          <w:sz w:val="28"/>
          <w:szCs w:val="28"/>
        </w:rPr>
        <w:t>八、词语含义</w:t>
      </w:r>
      <w:bookmarkEnd w:id="29"/>
      <w:bookmarkEnd w:id="30"/>
      <w:bookmarkEnd w:id="31"/>
      <w:bookmarkEnd w:id="32"/>
    </w:p>
    <w:p w14:paraId="28611197">
      <w:pPr>
        <w:widowControl/>
        <w:spacing w:line="360" w:lineRule="exact"/>
        <w:ind w:firstLine="560" w:firstLineChars="200"/>
        <w:rPr>
          <w:rStyle w:val="223"/>
          <w:rFonts w:hint="default" w:ascii="仿宋" w:hAnsi="仿宋" w:eastAsia="仿宋" w:cs="仿宋"/>
          <w:sz w:val="28"/>
          <w:szCs w:val="28"/>
        </w:rPr>
      </w:pPr>
      <w:r>
        <w:rPr>
          <w:rFonts w:hint="eastAsia" w:ascii="仿宋" w:hAnsi="仿宋" w:eastAsia="仿宋" w:cs="仿宋"/>
          <w:kern w:val="0"/>
          <w:sz w:val="28"/>
          <w:szCs w:val="28"/>
        </w:rPr>
        <w:t>本协议书中词语含义与第二部分通用合同条款中赋予的含义相同。</w:t>
      </w:r>
      <w:bookmarkStart w:id="33" w:name="_Toc401779781"/>
      <w:bookmarkStart w:id="34" w:name="_Toc401788569"/>
      <w:bookmarkStart w:id="35" w:name="_Toc401780103"/>
      <w:bookmarkStart w:id="36" w:name="_Toc401777832"/>
    </w:p>
    <w:p w14:paraId="2368EBDF">
      <w:pPr>
        <w:pStyle w:val="5"/>
        <w:spacing w:line="360" w:lineRule="exact"/>
        <w:rPr>
          <w:rFonts w:ascii="仿宋" w:hAnsi="仿宋" w:eastAsia="仿宋" w:cs="仿宋"/>
          <w:sz w:val="28"/>
          <w:szCs w:val="28"/>
        </w:rPr>
      </w:pPr>
      <w:r>
        <w:rPr>
          <w:rFonts w:hint="eastAsia" w:ascii="仿宋" w:hAnsi="仿宋" w:eastAsia="仿宋" w:cs="仿宋"/>
          <w:sz w:val="28"/>
          <w:szCs w:val="28"/>
        </w:rPr>
        <w:t>九、签订时间</w:t>
      </w:r>
      <w:bookmarkEnd w:id="33"/>
      <w:bookmarkEnd w:id="34"/>
      <w:bookmarkEnd w:id="35"/>
      <w:bookmarkEnd w:id="36"/>
    </w:p>
    <w:p w14:paraId="1D54D0E7">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本合同于</w:t>
      </w:r>
      <w:r>
        <w:rPr>
          <w:rFonts w:hint="eastAsia" w:ascii="仿宋" w:hAnsi="仿宋" w:eastAsia="仿宋" w:cs="仿宋"/>
          <w:kern w:val="0"/>
          <w:sz w:val="28"/>
          <w:szCs w:val="28"/>
          <w:u w:val="single"/>
        </w:rPr>
        <w:t>【】</w:t>
      </w:r>
      <w:r>
        <w:rPr>
          <w:rFonts w:hint="eastAsia" w:ascii="仿宋" w:hAnsi="仿宋" w:eastAsia="仿宋" w:cs="仿宋"/>
          <w:kern w:val="0"/>
          <w:sz w:val="28"/>
          <w:szCs w:val="28"/>
        </w:rPr>
        <w:t>年</w:t>
      </w:r>
      <w:r>
        <w:rPr>
          <w:rFonts w:hint="eastAsia" w:ascii="仿宋" w:hAnsi="仿宋" w:eastAsia="仿宋" w:cs="仿宋"/>
          <w:kern w:val="0"/>
          <w:sz w:val="28"/>
          <w:szCs w:val="28"/>
          <w:u w:val="single"/>
        </w:rPr>
        <w:t>【】</w:t>
      </w:r>
      <w:r>
        <w:rPr>
          <w:rFonts w:hint="eastAsia" w:ascii="仿宋" w:hAnsi="仿宋" w:eastAsia="仿宋" w:cs="仿宋"/>
          <w:kern w:val="0"/>
          <w:sz w:val="28"/>
          <w:szCs w:val="28"/>
        </w:rPr>
        <w:t>月</w:t>
      </w:r>
      <w:r>
        <w:rPr>
          <w:rFonts w:hint="eastAsia" w:ascii="仿宋" w:hAnsi="仿宋" w:eastAsia="仿宋" w:cs="仿宋"/>
          <w:kern w:val="0"/>
          <w:sz w:val="28"/>
          <w:szCs w:val="28"/>
          <w:u w:val="single"/>
        </w:rPr>
        <w:t>【】</w:t>
      </w:r>
      <w:r>
        <w:rPr>
          <w:rFonts w:hint="eastAsia" w:ascii="仿宋" w:hAnsi="仿宋" w:eastAsia="仿宋" w:cs="仿宋"/>
          <w:kern w:val="0"/>
          <w:sz w:val="28"/>
          <w:szCs w:val="28"/>
        </w:rPr>
        <w:t>日签订。</w:t>
      </w:r>
    </w:p>
    <w:p w14:paraId="74122343">
      <w:pPr>
        <w:pStyle w:val="5"/>
        <w:spacing w:line="360" w:lineRule="exact"/>
        <w:rPr>
          <w:rFonts w:ascii="仿宋" w:hAnsi="仿宋" w:eastAsia="仿宋" w:cs="仿宋"/>
          <w:sz w:val="28"/>
          <w:szCs w:val="28"/>
        </w:rPr>
      </w:pPr>
      <w:bookmarkStart w:id="37" w:name="_Toc401780104"/>
      <w:bookmarkStart w:id="38" w:name="_Toc401777833"/>
      <w:bookmarkStart w:id="39" w:name="_Toc401779782"/>
      <w:r>
        <w:rPr>
          <w:rFonts w:hint="eastAsia" w:ascii="仿宋" w:hAnsi="仿宋" w:eastAsia="仿宋" w:cs="仿宋"/>
          <w:sz w:val="28"/>
          <w:szCs w:val="28"/>
        </w:rPr>
        <w:t>十、签订地点</w:t>
      </w:r>
      <w:bookmarkEnd w:id="37"/>
      <w:bookmarkEnd w:id="38"/>
      <w:bookmarkEnd w:id="39"/>
    </w:p>
    <w:p w14:paraId="406A890F">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本合同在</w:t>
      </w:r>
      <w:r>
        <w:rPr>
          <w:rFonts w:hint="eastAsia" w:ascii="仿宋" w:hAnsi="仿宋" w:eastAsia="仿宋" w:cs="仿宋"/>
          <w:kern w:val="0"/>
          <w:sz w:val="28"/>
          <w:szCs w:val="28"/>
          <w:u w:val="single"/>
        </w:rPr>
        <w:t>永州市冷水滩区</w:t>
      </w:r>
      <w:r>
        <w:rPr>
          <w:rFonts w:hint="eastAsia" w:ascii="仿宋" w:hAnsi="仿宋" w:eastAsia="仿宋" w:cs="仿宋"/>
          <w:kern w:val="0"/>
          <w:sz w:val="28"/>
          <w:szCs w:val="28"/>
        </w:rPr>
        <w:t>签订。</w:t>
      </w:r>
    </w:p>
    <w:p w14:paraId="6C3200AE">
      <w:pPr>
        <w:pStyle w:val="5"/>
        <w:spacing w:line="360" w:lineRule="exact"/>
        <w:rPr>
          <w:rFonts w:ascii="仿宋" w:hAnsi="仿宋" w:eastAsia="仿宋" w:cs="仿宋"/>
          <w:sz w:val="28"/>
          <w:szCs w:val="28"/>
        </w:rPr>
      </w:pPr>
      <w:bookmarkStart w:id="40" w:name="_Toc401780105"/>
      <w:bookmarkStart w:id="41" w:name="_Toc401777834"/>
      <w:bookmarkStart w:id="42" w:name="_Toc401779783"/>
      <w:r>
        <w:rPr>
          <w:rFonts w:hint="eastAsia" w:ascii="仿宋" w:hAnsi="仿宋" w:eastAsia="仿宋" w:cs="仿宋"/>
          <w:sz w:val="28"/>
          <w:szCs w:val="28"/>
        </w:rPr>
        <w:t>十一、补充协议</w:t>
      </w:r>
      <w:bookmarkEnd w:id="40"/>
      <w:bookmarkEnd w:id="41"/>
      <w:bookmarkEnd w:id="42"/>
    </w:p>
    <w:p w14:paraId="70366BBD">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合同未尽事宜，合同当事人另行签订补充协议，补充协议是合同的组成部分。</w:t>
      </w:r>
    </w:p>
    <w:p w14:paraId="5A2ABADC">
      <w:pPr>
        <w:pStyle w:val="5"/>
        <w:spacing w:line="360" w:lineRule="exact"/>
        <w:rPr>
          <w:rFonts w:ascii="仿宋" w:hAnsi="仿宋" w:eastAsia="仿宋" w:cs="仿宋"/>
          <w:sz w:val="28"/>
          <w:szCs w:val="28"/>
        </w:rPr>
      </w:pPr>
      <w:bookmarkStart w:id="43" w:name="_Toc401779784"/>
      <w:bookmarkStart w:id="44" w:name="_Toc401777835"/>
      <w:bookmarkStart w:id="45" w:name="_Toc401780106"/>
      <w:r>
        <w:rPr>
          <w:rFonts w:hint="eastAsia" w:ascii="仿宋" w:hAnsi="仿宋" w:eastAsia="仿宋" w:cs="仿宋"/>
          <w:sz w:val="28"/>
          <w:szCs w:val="28"/>
        </w:rPr>
        <w:t>十二、合同生效</w:t>
      </w:r>
      <w:bookmarkEnd w:id="43"/>
      <w:bookmarkEnd w:id="44"/>
      <w:bookmarkEnd w:id="45"/>
    </w:p>
    <w:p w14:paraId="538F5D11">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本合同自</w:t>
      </w:r>
      <w:r>
        <w:rPr>
          <w:rFonts w:hint="eastAsia" w:ascii="仿宋" w:hAnsi="仿宋" w:eastAsia="仿宋" w:cs="仿宋"/>
          <w:kern w:val="0"/>
          <w:sz w:val="28"/>
          <w:szCs w:val="28"/>
          <w:u w:val="single"/>
        </w:rPr>
        <w:t>双方法定代表人或其委托代理人签字并加盖公司公章或合同专用章之日起</w:t>
      </w:r>
      <w:r>
        <w:rPr>
          <w:rFonts w:hint="eastAsia" w:ascii="仿宋" w:hAnsi="仿宋" w:eastAsia="仿宋" w:cs="仿宋"/>
          <w:kern w:val="0"/>
          <w:sz w:val="28"/>
          <w:szCs w:val="28"/>
        </w:rPr>
        <w:t>生效。</w:t>
      </w:r>
    </w:p>
    <w:p w14:paraId="14E8A1AC">
      <w:pPr>
        <w:pStyle w:val="5"/>
        <w:spacing w:line="360" w:lineRule="exact"/>
        <w:rPr>
          <w:rFonts w:ascii="仿宋" w:hAnsi="仿宋" w:eastAsia="仿宋" w:cs="仿宋"/>
          <w:sz w:val="28"/>
          <w:szCs w:val="28"/>
        </w:rPr>
      </w:pPr>
      <w:bookmarkStart w:id="46" w:name="_Toc401777836"/>
      <w:bookmarkStart w:id="47" w:name="_Toc401779785"/>
      <w:bookmarkStart w:id="48" w:name="_Toc401780107"/>
      <w:r>
        <w:rPr>
          <w:rFonts w:hint="eastAsia" w:ascii="仿宋" w:hAnsi="仿宋" w:eastAsia="仿宋" w:cs="仿宋"/>
          <w:sz w:val="28"/>
          <w:szCs w:val="28"/>
        </w:rPr>
        <w:t>十三、合同份数</w:t>
      </w:r>
      <w:bookmarkEnd w:id="46"/>
      <w:bookmarkEnd w:id="47"/>
      <w:bookmarkEnd w:id="48"/>
    </w:p>
    <w:p w14:paraId="610E993C">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合同一式</w:t>
      </w:r>
      <w:r>
        <w:rPr>
          <w:rFonts w:hint="eastAsia" w:ascii="仿宋" w:hAnsi="仿宋" w:eastAsia="仿宋" w:cs="仿宋"/>
          <w:kern w:val="0"/>
          <w:sz w:val="28"/>
          <w:szCs w:val="28"/>
          <w:u w:val="single"/>
        </w:rPr>
        <w:t>【拾】</w:t>
      </w:r>
      <w:r>
        <w:rPr>
          <w:rFonts w:hint="eastAsia" w:ascii="仿宋" w:hAnsi="仿宋" w:eastAsia="仿宋" w:cs="仿宋"/>
          <w:kern w:val="0"/>
          <w:sz w:val="28"/>
          <w:szCs w:val="28"/>
        </w:rPr>
        <w:t>份，均具有同等法律效力，发包人执</w:t>
      </w:r>
      <w:r>
        <w:rPr>
          <w:rFonts w:hint="eastAsia" w:ascii="仿宋" w:hAnsi="仿宋" w:eastAsia="仿宋" w:cs="仿宋"/>
          <w:kern w:val="0"/>
          <w:sz w:val="28"/>
          <w:szCs w:val="28"/>
          <w:u w:val="single"/>
        </w:rPr>
        <w:t>【陆】</w:t>
      </w:r>
      <w:r>
        <w:rPr>
          <w:rFonts w:hint="eastAsia" w:ascii="仿宋" w:hAnsi="仿宋" w:eastAsia="仿宋" w:cs="仿宋"/>
          <w:kern w:val="0"/>
          <w:sz w:val="28"/>
          <w:szCs w:val="28"/>
        </w:rPr>
        <w:t>份，承包人执</w:t>
      </w:r>
      <w:r>
        <w:rPr>
          <w:rFonts w:hint="eastAsia" w:ascii="仿宋" w:hAnsi="仿宋" w:eastAsia="仿宋" w:cs="仿宋"/>
          <w:kern w:val="0"/>
          <w:sz w:val="28"/>
          <w:szCs w:val="28"/>
          <w:u w:val="single"/>
        </w:rPr>
        <w:t>【肆】</w:t>
      </w:r>
      <w:r>
        <w:rPr>
          <w:rFonts w:hint="eastAsia" w:ascii="仿宋" w:hAnsi="仿宋" w:eastAsia="仿宋" w:cs="仿宋"/>
          <w:kern w:val="0"/>
          <w:sz w:val="28"/>
          <w:szCs w:val="28"/>
        </w:rPr>
        <w:t>份。</w:t>
      </w:r>
    </w:p>
    <w:p w14:paraId="2C6E73EA">
      <w:pPr>
        <w:widowControl/>
        <w:spacing w:line="360" w:lineRule="exact"/>
        <w:rPr>
          <w:rFonts w:ascii="仿宋" w:hAnsi="仿宋" w:eastAsia="仿宋" w:cs="仿宋"/>
          <w:kern w:val="0"/>
          <w:sz w:val="28"/>
          <w:szCs w:val="28"/>
        </w:rPr>
      </w:pPr>
      <w:r>
        <w:rPr>
          <w:rFonts w:hint="eastAsia" w:ascii="仿宋" w:hAnsi="仿宋" w:eastAsia="仿宋" w:cs="仿宋"/>
          <w:kern w:val="0"/>
          <w:sz w:val="28"/>
          <w:szCs w:val="28"/>
        </w:rPr>
        <w:t>（以下无正文）</w:t>
      </w:r>
    </w:p>
    <w:p w14:paraId="21B3CDC1">
      <w:pPr>
        <w:widowControl/>
        <w:spacing w:line="360" w:lineRule="exact"/>
        <w:rPr>
          <w:rFonts w:ascii="仿宋" w:hAnsi="仿宋" w:eastAsia="仿宋" w:cs="仿宋"/>
          <w:kern w:val="0"/>
          <w:sz w:val="28"/>
          <w:szCs w:val="28"/>
        </w:rPr>
      </w:pPr>
    </w:p>
    <w:p w14:paraId="303CB5FF">
      <w:pPr>
        <w:widowControl/>
        <w:spacing w:line="360" w:lineRule="exact"/>
        <w:rPr>
          <w:rFonts w:ascii="仿宋" w:hAnsi="仿宋" w:eastAsia="仿宋" w:cs="仿宋"/>
          <w:kern w:val="0"/>
          <w:sz w:val="28"/>
          <w:szCs w:val="28"/>
        </w:rPr>
      </w:pPr>
    </w:p>
    <w:p w14:paraId="7019CC4F">
      <w:pPr>
        <w:widowControl/>
        <w:spacing w:line="360" w:lineRule="exact"/>
        <w:rPr>
          <w:rFonts w:ascii="仿宋" w:hAnsi="仿宋" w:eastAsia="仿宋" w:cs="仿宋"/>
          <w:kern w:val="0"/>
          <w:sz w:val="28"/>
          <w:szCs w:val="28"/>
        </w:rPr>
      </w:pPr>
    </w:p>
    <w:p w14:paraId="6C701468">
      <w:pPr>
        <w:widowControl/>
        <w:spacing w:line="360" w:lineRule="exact"/>
        <w:rPr>
          <w:rFonts w:ascii="仿宋" w:hAnsi="仿宋" w:eastAsia="仿宋" w:cs="仿宋"/>
          <w:kern w:val="0"/>
          <w:sz w:val="28"/>
          <w:szCs w:val="28"/>
        </w:rPr>
      </w:pPr>
      <w:r>
        <w:rPr>
          <w:rFonts w:hint="eastAsia" w:ascii="仿宋" w:hAnsi="仿宋" w:eastAsia="仿宋" w:cs="仿宋"/>
          <w:kern w:val="0"/>
          <w:sz w:val="28"/>
          <w:szCs w:val="28"/>
        </w:rPr>
        <w:t>发包人（盖章）：                 承包人（盖章）：</w:t>
      </w:r>
    </w:p>
    <w:p w14:paraId="21EA78F0">
      <w:pPr>
        <w:widowControl/>
        <w:spacing w:line="360" w:lineRule="exact"/>
        <w:rPr>
          <w:rFonts w:ascii="仿宋" w:hAnsi="仿宋" w:eastAsia="仿宋" w:cs="仿宋"/>
          <w:kern w:val="0"/>
          <w:sz w:val="28"/>
          <w:szCs w:val="28"/>
        </w:rPr>
      </w:pPr>
    </w:p>
    <w:p w14:paraId="23E5E75D">
      <w:pPr>
        <w:widowControl/>
        <w:spacing w:line="360" w:lineRule="exact"/>
        <w:rPr>
          <w:rFonts w:ascii="仿宋" w:hAnsi="仿宋" w:eastAsia="仿宋" w:cs="仿宋"/>
          <w:kern w:val="0"/>
          <w:sz w:val="28"/>
          <w:szCs w:val="28"/>
        </w:rPr>
      </w:pPr>
    </w:p>
    <w:p w14:paraId="10565A76">
      <w:pPr>
        <w:widowControl/>
        <w:spacing w:line="360" w:lineRule="exact"/>
        <w:rPr>
          <w:rFonts w:ascii="仿宋" w:hAnsi="仿宋" w:eastAsia="仿宋" w:cs="仿宋"/>
          <w:kern w:val="0"/>
          <w:sz w:val="28"/>
          <w:szCs w:val="28"/>
        </w:rPr>
      </w:pPr>
    </w:p>
    <w:p w14:paraId="764BCE48">
      <w:pPr>
        <w:widowControl/>
        <w:spacing w:line="360" w:lineRule="exact"/>
        <w:rPr>
          <w:rFonts w:ascii="仿宋" w:hAnsi="仿宋" w:eastAsia="仿宋" w:cs="仿宋"/>
          <w:kern w:val="0"/>
          <w:sz w:val="28"/>
          <w:szCs w:val="28"/>
        </w:rPr>
      </w:pPr>
      <w:r>
        <w:rPr>
          <w:rFonts w:hint="eastAsia" w:ascii="仿宋" w:hAnsi="仿宋" w:eastAsia="仿宋" w:cs="仿宋"/>
          <w:kern w:val="0"/>
          <w:sz w:val="28"/>
          <w:szCs w:val="28"/>
        </w:rPr>
        <w:t>法定代表人或其委托代理人         法定代表人或其委托代理人</w:t>
      </w:r>
    </w:p>
    <w:p w14:paraId="05FED04F">
      <w:pPr>
        <w:widowControl/>
        <w:spacing w:line="360" w:lineRule="exact"/>
        <w:rPr>
          <w:rFonts w:ascii="仿宋" w:hAnsi="仿宋" w:eastAsia="仿宋" w:cs="仿宋"/>
          <w:kern w:val="0"/>
          <w:sz w:val="28"/>
          <w:szCs w:val="28"/>
        </w:rPr>
      </w:pPr>
      <w:r>
        <w:rPr>
          <w:rFonts w:hint="eastAsia" w:ascii="仿宋" w:hAnsi="仿宋" w:eastAsia="仿宋" w:cs="仿宋"/>
          <w:kern w:val="0"/>
          <w:sz w:val="28"/>
          <w:szCs w:val="28"/>
        </w:rPr>
        <w:t>（签字）：                       （签字）：</w:t>
      </w:r>
    </w:p>
    <w:p w14:paraId="43A259DC">
      <w:pPr>
        <w:pStyle w:val="5"/>
        <w:spacing w:line="360" w:lineRule="exact"/>
        <w:jc w:val="center"/>
        <w:rPr>
          <w:rFonts w:ascii="仿宋" w:hAnsi="仿宋" w:eastAsia="仿宋" w:cs="仿宋"/>
          <w:sz w:val="36"/>
          <w:szCs w:val="36"/>
        </w:rPr>
      </w:pPr>
      <w:r>
        <w:rPr>
          <w:rFonts w:ascii="仿宋" w:hAnsi="仿宋" w:eastAsia="仿宋" w:cs="仿宋"/>
          <w:sz w:val="36"/>
          <w:szCs w:val="36"/>
        </w:rPr>
        <w:br w:type="page"/>
      </w:r>
      <w:r>
        <w:rPr>
          <w:rFonts w:hint="eastAsia" w:ascii="仿宋" w:hAnsi="仿宋" w:eastAsia="仿宋" w:cs="仿宋"/>
          <w:sz w:val="36"/>
          <w:szCs w:val="36"/>
        </w:rPr>
        <w:t>第二部分  通用合同条款（略）</w:t>
      </w:r>
    </w:p>
    <w:p w14:paraId="33F4C4A9">
      <w:pPr>
        <w:spacing w:line="360" w:lineRule="exact"/>
        <w:ind w:firstLine="560" w:firstLineChars="200"/>
        <w:rPr>
          <w:rFonts w:ascii="宋体" w:hAnsi="宋体" w:cs="仿宋"/>
          <w:sz w:val="32"/>
          <w:szCs w:val="32"/>
        </w:rPr>
      </w:pPr>
      <w:r>
        <w:rPr>
          <w:rFonts w:hint="eastAsia" w:ascii="仿宋" w:hAnsi="仿宋" w:eastAsia="仿宋" w:cs="仿宋"/>
          <w:sz w:val="28"/>
          <w:szCs w:val="28"/>
        </w:rPr>
        <w:t>详见建设工程施工合同（示范文本）（GF—2017—0201）第二部分通用合同条款部分。</w:t>
      </w:r>
    </w:p>
    <w:p w14:paraId="2042E696">
      <w:pPr>
        <w:spacing w:line="360" w:lineRule="exact"/>
        <w:jc w:val="center"/>
        <w:rPr>
          <w:rFonts w:ascii="仿宋" w:hAnsi="仿宋" w:eastAsia="仿宋" w:cs="仿宋"/>
          <w:sz w:val="28"/>
          <w:szCs w:val="28"/>
        </w:rPr>
      </w:pPr>
      <w:r>
        <w:rPr>
          <w:rFonts w:ascii="宋体" w:hAnsi="宋体" w:cs="仿宋"/>
          <w:sz w:val="32"/>
          <w:szCs w:val="32"/>
        </w:rPr>
        <w:br w:type="page"/>
      </w:r>
      <w:bookmarkStart w:id="49" w:name="_Toc487716156"/>
      <w:r>
        <w:rPr>
          <w:rStyle w:val="224"/>
          <w:rFonts w:hint="eastAsia" w:ascii="仿宋" w:hAnsi="仿宋" w:eastAsia="仿宋" w:cs="仿宋"/>
          <w:sz w:val="36"/>
          <w:szCs w:val="36"/>
        </w:rPr>
        <w:t>第三部分  专用合同条款</w:t>
      </w:r>
      <w:bookmarkEnd w:id="12"/>
      <w:bookmarkEnd w:id="49"/>
    </w:p>
    <w:p w14:paraId="35037661">
      <w:pPr>
        <w:pBdr>
          <w:top w:val="none" w:color="auto" w:sz="0" w:space="1"/>
          <w:left w:val="none" w:color="auto" w:sz="0" w:space="4"/>
          <w:bottom w:val="none" w:color="auto" w:sz="0" w:space="1"/>
          <w:right w:val="none" w:color="auto" w:sz="0" w:space="4"/>
        </w:pBd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w:t>
      </w:r>
      <w:bookmarkStart w:id="50" w:name="_Toc297120456"/>
      <w:bookmarkStart w:id="51" w:name="_Toc296891196"/>
      <w:bookmarkStart w:id="52" w:name="_Toc296944495"/>
      <w:bookmarkStart w:id="53" w:name="_Toc296503156"/>
      <w:bookmarkStart w:id="54" w:name="_Toc296890984"/>
      <w:bookmarkStart w:id="55" w:name="_Toc297048342"/>
      <w:bookmarkStart w:id="56" w:name="_Toc296346657"/>
      <w:bookmarkStart w:id="57" w:name="_Toc296347155"/>
      <w:bookmarkStart w:id="58" w:name="_Toc292559361"/>
      <w:bookmarkStart w:id="59" w:name="_Toc292559866"/>
      <w:r>
        <w:rPr>
          <w:rFonts w:hint="eastAsia" w:ascii="仿宋" w:hAnsi="仿宋" w:eastAsia="仿宋" w:cs="仿宋"/>
          <w:b/>
          <w:sz w:val="28"/>
          <w:szCs w:val="28"/>
        </w:rPr>
        <w:t>.一般约定</w:t>
      </w:r>
    </w:p>
    <w:bookmarkEnd w:id="50"/>
    <w:bookmarkEnd w:id="51"/>
    <w:bookmarkEnd w:id="52"/>
    <w:bookmarkEnd w:id="53"/>
    <w:bookmarkEnd w:id="54"/>
    <w:bookmarkEnd w:id="55"/>
    <w:bookmarkEnd w:id="56"/>
    <w:bookmarkEnd w:id="57"/>
    <w:bookmarkEnd w:id="58"/>
    <w:bookmarkEnd w:id="59"/>
    <w:p w14:paraId="2599A607">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1.1词语定义</w:t>
      </w:r>
    </w:p>
    <w:p w14:paraId="3289C287">
      <w:pPr>
        <w:spacing w:line="36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1.1.1</w:t>
      </w:r>
      <w:r>
        <w:rPr>
          <w:rFonts w:hint="eastAsia" w:ascii="仿宋" w:hAnsi="仿宋" w:eastAsia="仿宋" w:cs="仿宋"/>
          <w:kern w:val="0"/>
          <w:sz w:val="28"/>
          <w:szCs w:val="28"/>
        </w:rPr>
        <w:t>合同</w:t>
      </w:r>
    </w:p>
    <w:p w14:paraId="595F2FA8">
      <w:pPr>
        <w:spacing w:line="360" w:lineRule="exact"/>
        <w:ind w:firstLine="562" w:firstLineChars="200"/>
        <w:rPr>
          <w:rFonts w:ascii="仿宋" w:hAnsi="仿宋" w:eastAsia="仿宋" w:cs="仿宋"/>
          <w:kern w:val="0"/>
          <w:sz w:val="28"/>
          <w:szCs w:val="28"/>
          <w:u w:val="single"/>
        </w:rPr>
      </w:pPr>
      <w:r>
        <w:rPr>
          <w:rFonts w:hint="eastAsia" w:ascii="仿宋" w:hAnsi="仿宋" w:eastAsia="仿宋" w:cs="仿宋"/>
          <w:b/>
          <w:bCs/>
          <w:kern w:val="0"/>
          <w:sz w:val="28"/>
          <w:szCs w:val="28"/>
        </w:rPr>
        <w:t>1.1.1.10</w:t>
      </w:r>
      <w:r>
        <w:rPr>
          <w:rFonts w:hint="eastAsia" w:ascii="仿宋" w:hAnsi="仿宋" w:eastAsia="仿宋" w:cs="仿宋"/>
          <w:kern w:val="0"/>
          <w:sz w:val="28"/>
          <w:szCs w:val="28"/>
        </w:rPr>
        <w:t>其他合同文件包括：</w:t>
      </w:r>
      <w:r>
        <w:rPr>
          <w:rFonts w:hint="eastAsia" w:ascii="仿宋" w:hAnsi="仿宋" w:eastAsia="仿宋" w:cs="仿宋"/>
          <w:sz w:val="28"/>
          <w:szCs w:val="28"/>
          <w:u w:val="single"/>
        </w:rPr>
        <w:t>指经合同双方当事人确认构成合同文件的其他文件</w:t>
      </w:r>
      <w:r>
        <w:rPr>
          <w:rFonts w:hint="eastAsia" w:ascii="仿宋" w:hAnsi="仿宋" w:eastAsia="仿宋" w:cs="仿宋"/>
          <w:sz w:val="28"/>
          <w:szCs w:val="28"/>
        </w:rPr>
        <w:t>。</w:t>
      </w:r>
    </w:p>
    <w:p w14:paraId="6C4D2CD7">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1.1.2</w:t>
      </w:r>
      <w:r>
        <w:rPr>
          <w:rFonts w:hint="eastAsia" w:ascii="仿宋" w:hAnsi="仿宋" w:eastAsia="仿宋" w:cs="仿宋"/>
          <w:sz w:val="28"/>
          <w:szCs w:val="28"/>
        </w:rPr>
        <w:t>合同当事人及其他相关方</w:t>
      </w:r>
    </w:p>
    <w:p w14:paraId="01BC283B">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1.1.2.4</w:t>
      </w:r>
      <w:r>
        <w:rPr>
          <w:rFonts w:hint="eastAsia" w:ascii="仿宋" w:hAnsi="仿宋" w:eastAsia="仿宋" w:cs="仿宋"/>
          <w:sz w:val="28"/>
          <w:szCs w:val="28"/>
        </w:rPr>
        <w:t>监理人：</w:t>
      </w:r>
    </w:p>
    <w:p w14:paraId="6F777A7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名    称：</w:t>
      </w:r>
      <w:r>
        <w:rPr>
          <w:rFonts w:hint="eastAsia" w:ascii="仿宋" w:hAnsi="仿宋" w:eastAsia="仿宋" w:cs="仿宋"/>
          <w:sz w:val="28"/>
          <w:szCs w:val="28"/>
          <w:u w:val="single"/>
        </w:rPr>
        <w:t>/</w:t>
      </w:r>
      <w:r>
        <w:rPr>
          <w:rFonts w:hint="eastAsia" w:ascii="仿宋" w:hAnsi="仿宋" w:eastAsia="仿宋" w:cs="仿宋"/>
          <w:sz w:val="28"/>
          <w:szCs w:val="28"/>
        </w:rPr>
        <w:t>；</w:t>
      </w:r>
    </w:p>
    <w:p w14:paraId="502A78B8">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资质类别和等级：</w:t>
      </w:r>
      <w:r>
        <w:rPr>
          <w:rFonts w:hint="eastAsia" w:ascii="仿宋" w:hAnsi="仿宋" w:eastAsia="仿宋" w:cs="仿宋"/>
          <w:sz w:val="28"/>
          <w:szCs w:val="28"/>
          <w:u w:val="single"/>
        </w:rPr>
        <w:t>/</w:t>
      </w:r>
      <w:r>
        <w:rPr>
          <w:rFonts w:hint="eastAsia" w:ascii="仿宋" w:hAnsi="仿宋" w:eastAsia="仿宋" w:cs="仿宋"/>
          <w:sz w:val="28"/>
          <w:szCs w:val="28"/>
        </w:rPr>
        <w:t>；</w:t>
      </w:r>
    </w:p>
    <w:p w14:paraId="4B979D72">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 系 人：</w:t>
      </w:r>
      <w:r>
        <w:rPr>
          <w:rFonts w:hint="eastAsia" w:ascii="仿宋" w:hAnsi="仿宋" w:eastAsia="仿宋" w:cs="仿宋"/>
          <w:sz w:val="28"/>
          <w:szCs w:val="28"/>
          <w:u w:val="single"/>
        </w:rPr>
        <w:t>/</w:t>
      </w:r>
      <w:r>
        <w:rPr>
          <w:rFonts w:hint="eastAsia" w:ascii="仿宋" w:hAnsi="仿宋" w:eastAsia="仿宋" w:cs="仿宋"/>
          <w:sz w:val="28"/>
          <w:szCs w:val="28"/>
        </w:rPr>
        <w:t>；</w:t>
      </w:r>
    </w:p>
    <w:p w14:paraId="7589E512">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hint="eastAsia" w:ascii="仿宋" w:hAnsi="仿宋" w:eastAsia="仿宋" w:cs="仿宋"/>
          <w:sz w:val="28"/>
          <w:szCs w:val="28"/>
          <w:u w:val="single"/>
        </w:rPr>
        <w:t>/</w:t>
      </w:r>
      <w:r>
        <w:rPr>
          <w:rFonts w:hint="eastAsia" w:ascii="仿宋" w:hAnsi="仿宋" w:eastAsia="仿宋" w:cs="仿宋"/>
          <w:sz w:val="28"/>
          <w:szCs w:val="28"/>
        </w:rPr>
        <w:t>；</w:t>
      </w:r>
    </w:p>
    <w:p w14:paraId="07BA4133">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电子信箱：</w:t>
      </w:r>
      <w:r>
        <w:rPr>
          <w:rFonts w:hint="eastAsia" w:ascii="仿宋" w:hAnsi="仿宋" w:eastAsia="仿宋" w:cs="仿宋"/>
          <w:sz w:val="28"/>
          <w:szCs w:val="28"/>
          <w:u w:val="single"/>
        </w:rPr>
        <w:t>/</w:t>
      </w:r>
      <w:r>
        <w:rPr>
          <w:rFonts w:hint="eastAsia" w:ascii="仿宋" w:hAnsi="仿宋" w:eastAsia="仿宋" w:cs="仿宋"/>
          <w:sz w:val="28"/>
          <w:szCs w:val="28"/>
        </w:rPr>
        <w:t>；</w:t>
      </w:r>
    </w:p>
    <w:p w14:paraId="54B4ACF8">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通信地址：</w:t>
      </w:r>
      <w:r>
        <w:rPr>
          <w:rFonts w:hint="eastAsia" w:ascii="仿宋" w:hAnsi="仿宋" w:eastAsia="仿宋" w:cs="仿宋"/>
          <w:sz w:val="28"/>
          <w:szCs w:val="28"/>
          <w:u w:val="single"/>
        </w:rPr>
        <w:t>/</w:t>
      </w:r>
      <w:r>
        <w:rPr>
          <w:rFonts w:hint="eastAsia" w:ascii="仿宋" w:hAnsi="仿宋" w:eastAsia="仿宋" w:cs="仿宋"/>
          <w:sz w:val="28"/>
          <w:szCs w:val="28"/>
        </w:rPr>
        <w:t>。</w:t>
      </w:r>
    </w:p>
    <w:p w14:paraId="3A4D9D55">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1.1.2.5</w:t>
      </w:r>
      <w:r>
        <w:rPr>
          <w:rFonts w:hint="eastAsia" w:ascii="仿宋" w:hAnsi="仿宋" w:eastAsia="仿宋" w:cs="仿宋"/>
          <w:sz w:val="28"/>
          <w:szCs w:val="28"/>
        </w:rPr>
        <w:t>设计人：</w:t>
      </w:r>
    </w:p>
    <w:p w14:paraId="57AC243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名    称：</w:t>
      </w:r>
      <w:r>
        <w:rPr>
          <w:rFonts w:hint="eastAsia" w:ascii="仿宋" w:hAnsi="仿宋" w:eastAsia="仿宋" w:cs="仿宋"/>
          <w:sz w:val="28"/>
          <w:szCs w:val="28"/>
          <w:u w:val="single"/>
        </w:rPr>
        <w:t>/</w:t>
      </w:r>
      <w:r>
        <w:rPr>
          <w:rFonts w:hint="eastAsia" w:ascii="仿宋" w:hAnsi="仿宋" w:eastAsia="仿宋" w:cs="仿宋"/>
          <w:sz w:val="28"/>
          <w:szCs w:val="28"/>
        </w:rPr>
        <w:t>；</w:t>
      </w:r>
    </w:p>
    <w:p w14:paraId="14D4F4E0">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资质类别和等级：</w:t>
      </w:r>
      <w:r>
        <w:rPr>
          <w:rFonts w:hint="eastAsia" w:ascii="仿宋" w:hAnsi="仿宋" w:eastAsia="仿宋" w:cs="仿宋"/>
          <w:sz w:val="28"/>
          <w:szCs w:val="28"/>
          <w:u w:val="single"/>
        </w:rPr>
        <w:t>/</w:t>
      </w:r>
      <w:r>
        <w:rPr>
          <w:rFonts w:hint="eastAsia" w:ascii="仿宋" w:hAnsi="仿宋" w:eastAsia="仿宋" w:cs="仿宋"/>
          <w:sz w:val="28"/>
          <w:szCs w:val="28"/>
        </w:rPr>
        <w:t>；</w:t>
      </w:r>
    </w:p>
    <w:p w14:paraId="6A3D97B2">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 系 人：</w:t>
      </w:r>
      <w:r>
        <w:rPr>
          <w:rFonts w:hint="eastAsia" w:ascii="仿宋" w:hAnsi="仿宋" w:eastAsia="仿宋" w:cs="仿宋"/>
          <w:sz w:val="28"/>
          <w:szCs w:val="28"/>
          <w:u w:val="single"/>
        </w:rPr>
        <w:t>/</w:t>
      </w:r>
      <w:r>
        <w:rPr>
          <w:rFonts w:hint="eastAsia" w:ascii="仿宋" w:hAnsi="仿宋" w:eastAsia="仿宋" w:cs="仿宋"/>
          <w:sz w:val="28"/>
          <w:szCs w:val="28"/>
        </w:rPr>
        <w:t>；</w:t>
      </w:r>
    </w:p>
    <w:p w14:paraId="3743E99F">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hint="eastAsia" w:ascii="仿宋" w:hAnsi="仿宋" w:eastAsia="仿宋" w:cs="仿宋"/>
          <w:sz w:val="28"/>
          <w:szCs w:val="28"/>
          <w:u w:val="single"/>
        </w:rPr>
        <w:t>/</w:t>
      </w:r>
      <w:r>
        <w:rPr>
          <w:rFonts w:hint="eastAsia" w:ascii="仿宋" w:hAnsi="仿宋" w:eastAsia="仿宋" w:cs="仿宋"/>
          <w:sz w:val="28"/>
          <w:szCs w:val="28"/>
        </w:rPr>
        <w:t>；</w:t>
      </w:r>
    </w:p>
    <w:p w14:paraId="44CAADB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电子信箱：</w:t>
      </w:r>
      <w:r>
        <w:rPr>
          <w:rFonts w:hint="eastAsia" w:ascii="仿宋" w:hAnsi="仿宋" w:eastAsia="仿宋" w:cs="仿宋"/>
          <w:sz w:val="28"/>
          <w:szCs w:val="28"/>
          <w:u w:val="single"/>
        </w:rPr>
        <w:t>/</w:t>
      </w:r>
      <w:r>
        <w:rPr>
          <w:rFonts w:hint="eastAsia" w:ascii="仿宋" w:hAnsi="仿宋" w:eastAsia="仿宋" w:cs="仿宋"/>
          <w:sz w:val="28"/>
          <w:szCs w:val="28"/>
        </w:rPr>
        <w:t>；</w:t>
      </w:r>
    </w:p>
    <w:p w14:paraId="4774664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通信地址：</w:t>
      </w:r>
      <w:r>
        <w:rPr>
          <w:rFonts w:hint="eastAsia" w:ascii="仿宋" w:hAnsi="仿宋" w:eastAsia="仿宋" w:cs="仿宋"/>
          <w:sz w:val="28"/>
          <w:szCs w:val="28"/>
          <w:u w:val="single"/>
        </w:rPr>
        <w:t>/</w:t>
      </w:r>
      <w:r>
        <w:rPr>
          <w:rFonts w:hint="eastAsia" w:ascii="仿宋" w:hAnsi="仿宋" w:eastAsia="仿宋" w:cs="仿宋"/>
          <w:sz w:val="28"/>
          <w:szCs w:val="28"/>
        </w:rPr>
        <w:t>。</w:t>
      </w:r>
    </w:p>
    <w:p w14:paraId="04494049">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1.1.3</w:t>
      </w:r>
      <w:r>
        <w:rPr>
          <w:rFonts w:hint="eastAsia" w:ascii="仿宋" w:hAnsi="仿宋" w:eastAsia="仿宋" w:cs="仿宋"/>
          <w:sz w:val="28"/>
          <w:szCs w:val="28"/>
        </w:rPr>
        <w:t>工程和设备</w:t>
      </w:r>
    </w:p>
    <w:p w14:paraId="7FC74AEC">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1.1.3.7</w:t>
      </w:r>
      <w:r>
        <w:rPr>
          <w:rFonts w:hint="eastAsia" w:ascii="仿宋" w:hAnsi="仿宋" w:eastAsia="仿宋" w:cs="仿宋"/>
          <w:sz w:val="28"/>
          <w:szCs w:val="28"/>
        </w:rPr>
        <w:t>作为施工现场组成部分的其他场所包括：</w:t>
      </w:r>
      <w:r>
        <w:rPr>
          <w:rFonts w:hint="eastAsia" w:ascii="仿宋" w:hAnsi="仿宋" w:eastAsia="仿宋" w:cs="仿宋"/>
          <w:sz w:val="28"/>
          <w:szCs w:val="28"/>
          <w:u w:val="single"/>
        </w:rPr>
        <w:t>/</w:t>
      </w:r>
      <w:r>
        <w:rPr>
          <w:rFonts w:hint="eastAsia" w:ascii="仿宋" w:hAnsi="仿宋" w:eastAsia="仿宋" w:cs="仿宋"/>
          <w:sz w:val="28"/>
          <w:szCs w:val="28"/>
        </w:rPr>
        <w:t>。</w:t>
      </w:r>
    </w:p>
    <w:p w14:paraId="09B8C709">
      <w:pPr>
        <w:spacing w:line="360" w:lineRule="exact"/>
        <w:ind w:firstLine="562" w:firstLineChars="200"/>
        <w:jc w:val="left"/>
        <w:rPr>
          <w:rFonts w:ascii="仿宋" w:hAnsi="仿宋" w:eastAsia="仿宋" w:cs="仿宋"/>
          <w:kern w:val="0"/>
          <w:sz w:val="28"/>
          <w:szCs w:val="28"/>
        </w:rPr>
      </w:pPr>
      <w:r>
        <w:rPr>
          <w:rFonts w:hint="eastAsia" w:ascii="仿宋" w:hAnsi="仿宋" w:eastAsia="仿宋" w:cs="仿宋"/>
          <w:b/>
          <w:bCs/>
          <w:kern w:val="0"/>
          <w:sz w:val="28"/>
          <w:szCs w:val="28"/>
        </w:rPr>
        <w:t>1.1.3.9</w:t>
      </w:r>
      <w:r>
        <w:rPr>
          <w:rFonts w:hint="eastAsia" w:ascii="仿宋" w:hAnsi="仿宋" w:eastAsia="仿宋" w:cs="仿宋"/>
          <w:kern w:val="0"/>
          <w:sz w:val="28"/>
          <w:szCs w:val="28"/>
        </w:rPr>
        <w:t>永久占地包括：</w:t>
      </w:r>
      <w:r>
        <w:rPr>
          <w:rFonts w:hint="eastAsia" w:ascii="仿宋" w:hAnsi="仿宋" w:eastAsia="仿宋" w:cs="仿宋"/>
          <w:sz w:val="28"/>
          <w:szCs w:val="28"/>
          <w:u w:val="single"/>
        </w:rPr>
        <w:t>指专用合同条款中指明为实施合同工程需永久占用的土地</w:t>
      </w:r>
      <w:r>
        <w:rPr>
          <w:rFonts w:hint="eastAsia" w:ascii="仿宋" w:hAnsi="仿宋" w:eastAsia="仿宋" w:cs="仿宋"/>
          <w:sz w:val="28"/>
          <w:szCs w:val="28"/>
        </w:rPr>
        <w:t>。</w:t>
      </w:r>
    </w:p>
    <w:p w14:paraId="13542546">
      <w:pPr>
        <w:spacing w:line="360" w:lineRule="exact"/>
        <w:ind w:firstLine="562" w:firstLineChars="200"/>
        <w:jc w:val="left"/>
        <w:rPr>
          <w:rFonts w:ascii="仿宋" w:hAnsi="仿宋" w:eastAsia="仿宋" w:cs="仿宋"/>
          <w:sz w:val="28"/>
          <w:szCs w:val="28"/>
        </w:rPr>
      </w:pPr>
      <w:r>
        <w:rPr>
          <w:rFonts w:hint="eastAsia" w:ascii="仿宋" w:hAnsi="仿宋" w:eastAsia="仿宋" w:cs="仿宋"/>
          <w:b/>
          <w:bCs/>
          <w:kern w:val="0"/>
          <w:sz w:val="28"/>
          <w:szCs w:val="28"/>
        </w:rPr>
        <w:t>1.1.3.10</w:t>
      </w:r>
      <w:r>
        <w:rPr>
          <w:rFonts w:hint="eastAsia" w:ascii="仿宋" w:hAnsi="仿宋" w:eastAsia="仿宋" w:cs="仿宋"/>
          <w:kern w:val="0"/>
          <w:sz w:val="28"/>
          <w:szCs w:val="28"/>
          <w:u w:val="single"/>
        </w:rPr>
        <w:t>临时占地包括：</w:t>
      </w:r>
      <w:r>
        <w:rPr>
          <w:rFonts w:hint="eastAsia" w:ascii="仿宋" w:hAnsi="仿宋" w:eastAsia="仿宋" w:cs="仿宋"/>
          <w:sz w:val="28"/>
          <w:szCs w:val="28"/>
          <w:u w:val="single"/>
        </w:rPr>
        <w:t>指专用合同条款中指明为实施合同工程需临时占用的土地</w:t>
      </w:r>
      <w:r>
        <w:rPr>
          <w:rFonts w:hint="eastAsia" w:ascii="仿宋" w:hAnsi="仿宋" w:eastAsia="仿宋" w:cs="仿宋"/>
          <w:sz w:val="28"/>
          <w:szCs w:val="28"/>
        </w:rPr>
        <w:t>。</w:t>
      </w:r>
    </w:p>
    <w:p w14:paraId="7158BA34">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1.3法律</w:t>
      </w:r>
    </w:p>
    <w:p w14:paraId="714AF5B3">
      <w:pPr>
        <w:autoSpaceDE w:val="0"/>
        <w:autoSpaceDN w:val="0"/>
        <w:adjustRightInd w:val="0"/>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适用于合同的其他规范性文件：</w:t>
      </w:r>
      <w:r>
        <w:rPr>
          <w:rFonts w:hint="eastAsia" w:ascii="仿宋" w:hAnsi="仿宋" w:eastAsia="仿宋" w:cs="仿宋"/>
          <w:sz w:val="28"/>
          <w:szCs w:val="28"/>
          <w:u w:val="single"/>
        </w:rPr>
        <w:t>中华人民共和国的现行法律、法规以及工程所在地的地方行政法规、规章制度</w:t>
      </w:r>
      <w:r>
        <w:rPr>
          <w:rFonts w:hint="eastAsia" w:ascii="仿宋" w:hAnsi="仿宋" w:eastAsia="仿宋" w:cs="仿宋"/>
          <w:sz w:val="28"/>
          <w:szCs w:val="28"/>
        </w:rPr>
        <w:t>。</w:t>
      </w:r>
    </w:p>
    <w:p w14:paraId="4D96BE8E">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1.4标准和规范</w:t>
      </w:r>
    </w:p>
    <w:p w14:paraId="768382BD">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1.4.1</w:t>
      </w:r>
      <w:r>
        <w:rPr>
          <w:rFonts w:hint="eastAsia" w:ascii="仿宋" w:hAnsi="仿宋" w:eastAsia="仿宋" w:cs="仿宋"/>
          <w:sz w:val="28"/>
          <w:szCs w:val="28"/>
        </w:rPr>
        <w:t>适用于工程的标准规范包括：</w:t>
      </w:r>
      <w:r>
        <w:rPr>
          <w:rFonts w:hint="eastAsia" w:ascii="仿宋" w:hAnsi="仿宋" w:eastAsia="仿宋" w:cs="仿宋"/>
          <w:sz w:val="28"/>
          <w:szCs w:val="28"/>
          <w:u w:val="single"/>
        </w:rPr>
        <w:t>按国家、地方、行业现行标准、规范、规程及招标文件上要求的标准规范</w:t>
      </w:r>
      <w:r>
        <w:rPr>
          <w:rFonts w:hint="eastAsia" w:ascii="仿宋" w:hAnsi="仿宋" w:eastAsia="仿宋" w:cs="仿宋"/>
          <w:sz w:val="28"/>
          <w:szCs w:val="28"/>
        </w:rPr>
        <w:t>。</w:t>
      </w:r>
    </w:p>
    <w:p w14:paraId="4605D36B">
      <w:pPr>
        <w:spacing w:line="36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1.4.2</w:t>
      </w:r>
      <w:r>
        <w:rPr>
          <w:rFonts w:hint="eastAsia" w:ascii="仿宋" w:hAnsi="仿宋" w:eastAsia="仿宋" w:cs="仿宋"/>
          <w:kern w:val="0"/>
          <w:sz w:val="28"/>
          <w:szCs w:val="28"/>
        </w:rPr>
        <w:t>发包人提供国外标准、规范的名称：</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62E18DF6">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发包人提供国外标准、规范的份数：</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3555280B">
      <w:pPr>
        <w:spacing w:line="360" w:lineRule="exact"/>
        <w:ind w:firstLine="560" w:firstLineChars="200"/>
        <w:rPr>
          <w:rFonts w:ascii="仿宋" w:hAnsi="仿宋" w:eastAsia="仿宋" w:cs="仿宋"/>
          <w:sz w:val="28"/>
          <w:szCs w:val="28"/>
        </w:rPr>
      </w:pPr>
      <w:r>
        <w:rPr>
          <w:rFonts w:hint="eastAsia" w:ascii="仿宋" w:hAnsi="仿宋" w:eastAsia="仿宋" w:cs="仿宋"/>
          <w:kern w:val="0"/>
          <w:sz w:val="28"/>
          <w:szCs w:val="28"/>
        </w:rPr>
        <w:t>发包人提供国外标准、规范的名称：</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1AC85D98">
      <w:pPr>
        <w:spacing w:line="360" w:lineRule="exact"/>
        <w:ind w:left="596" w:leftChars="284"/>
        <w:rPr>
          <w:rFonts w:ascii="仿宋" w:hAnsi="仿宋" w:eastAsia="仿宋" w:cs="仿宋"/>
          <w:sz w:val="28"/>
          <w:szCs w:val="28"/>
        </w:rPr>
      </w:pPr>
      <w:r>
        <w:rPr>
          <w:rFonts w:hint="eastAsia" w:ascii="仿宋" w:hAnsi="仿宋" w:eastAsia="仿宋" w:cs="仿宋"/>
          <w:b/>
          <w:bCs/>
          <w:sz w:val="28"/>
          <w:szCs w:val="28"/>
        </w:rPr>
        <w:t>1.4.3</w:t>
      </w:r>
      <w:r>
        <w:rPr>
          <w:rFonts w:hint="eastAsia" w:ascii="仿宋" w:hAnsi="仿宋" w:eastAsia="仿宋" w:cs="仿宋"/>
          <w:sz w:val="28"/>
          <w:szCs w:val="28"/>
        </w:rPr>
        <w:t>发包人对工程的技术标准和功能要求的特殊要求：</w:t>
      </w:r>
      <w:r>
        <w:rPr>
          <w:rFonts w:hint="eastAsia" w:ascii="仿宋" w:hAnsi="仿宋" w:eastAsia="仿宋" w:cs="仿宋"/>
          <w:sz w:val="28"/>
          <w:szCs w:val="28"/>
          <w:u w:val="single"/>
        </w:rPr>
        <w:t>/</w:t>
      </w:r>
      <w:r>
        <w:rPr>
          <w:rFonts w:hint="eastAsia" w:ascii="仿宋" w:hAnsi="仿宋" w:eastAsia="仿宋" w:cs="仿宋"/>
          <w:sz w:val="28"/>
          <w:szCs w:val="28"/>
        </w:rPr>
        <w:t>。</w:t>
      </w:r>
    </w:p>
    <w:p w14:paraId="3C63D9E4">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1.5合同文件的优先顺序</w:t>
      </w:r>
    </w:p>
    <w:p w14:paraId="7B3E1629">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合同文件组成及优先顺序为：除专用合同条款另有约定外，解释合同文件的优先顺序如下：</w:t>
      </w:r>
    </w:p>
    <w:p w14:paraId="50976EB3">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（1）招标文件；</w:t>
      </w:r>
    </w:p>
    <w:p w14:paraId="405D0DA3">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（2）投标函及投标函附录；</w:t>
      </w:r>
    </w:p>
    <w:p w14:paraId="1387AA24">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（3）中标通知书；</w:t>
      </w:r>
    </w:p>
    <w:p w14:paraId="6B79549B">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（4）合同协议书；</w:t>
      </w:r>
    </w:p>
    <w:p w14:paraId="5A445680">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（5）专用合同条款</w:t>
      </w:r>
    </w:p>
    <w:p w14:paraId="1AE418AD">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（6）通用合同条款；</w:t>
      </w:r>
    </w:p>
    <w:p w14:paraId="58855A02">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（7）技术标准和要求；</w:t>
      </w:r>
    </w:p>
    <w:p w14:paraId="4E4B901F">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（8）图纸；</w:t>
      </w:r>
    </w:p>
    <w:p w14:paraId="7703809C">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（9）已标价工程量清单；</w:t>
      </w:r>
    </w:p>
    <w:p w14:paraId="088859A1">
      <w:pPr>
        <w:widowControl/>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（10）其他合同文件。</w:t>
      </w:r>
    </w:p>
    <w:p w14:paraId="64F8CDCD">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1.6图纸和承包人文件</w:t>
      </w:r>
      <w:r>
        <w:rPr>
          <w:rFonts w:hint="eastAsia" w:ascii="仿宋" w:hAnsi="仿宋" w:eastAsia="仿宋" w:cs="仿宋"/>
          <w:b/>
          <w:bCs/>
          <w:sz w:val="28"/>
          <w:szCs w:val="28"/>
        </w:rPr>
        <w:tab/>
      </w:r>
    </w:p>
    <w:p w14:paraId="3D65C34A">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1.6.1</w:t>
      </w:r>
      <w:r>
        <w:rPr>
          <w:rFonts w:hint="eastAsia" w:ascii="仿宋" w:hAnsi="仿宋" w:eastAsia="仿宋" w:cs="仿宋"/>
          <w:sz w:val="28"/>
          <w:szCs w:val="28"/>
        </w:rPr>
        <w:t>图纸的提供</w:t>
      </w:r>
    </w:p>
    <w:p w14:paraId="066E18AD">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发包人向承包人提供图纸的期限：</w:t>
      </w:r>
      <w:r>
        <w:rPr>
          <w:rFonts w:hint="eastAsia" w:ascii="仿宋" w:hAnsi="仿宋" w:eastAsia="仿宋" w:cs="仿宋"/>
          <w:sz w:val="28"/>
          <w:szCs w:val="28"/>
          <w:u w:val="single"/>
        </w:rPr>
        <w:t>签订合同后7日内</w:t>
      </w:r>
      <w:r>
        <w:rPr>
          <w:rFonts w:hint="eastAsia" w:ascii="仿宋" w:hAnsi="仿宋" w:eastAsia="仿宋" w:cs="仿宋"/>
          <w:sz w:val="28"/>
          <w:szCs w:val="28"/>
        </w:rPr>
        <w:t>；</w:t>
      </w:r>
    </w:p>
    <w:p w14:paraId="1D6A4B4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发包人向承包人提供图纸的数量：</w:t>
      </w:r>
      <w:r>
        <w:rPr>
          <w:rFonts w:hint="eastAsia" w:ascii="仿宋" w:hAnsi="仿宋" w:eastAsia="仿宋" w:cs="仿宋"/>
          <w:sz w:val="28"/>
          <w:szCs w:val="28"/>
          <w:u w:val="single"/>
        </w:rPr>
        <w:t>贰套</w:t>
      </w:r>
      <w:r>
        <w:rPr>
          <w:rFonts w:hint="eastAsia" w:ascii="仿宋" w:hAnsi="仿宋" w:eastAsia="仿宋" w:cs="仿宋"/>
          <w:sz w:val="28"/>
          <w:szCs w:val="28"/>
        </w:rPr>
        <w:t>；</w:t>
      </w:r>
    </w:p>
    <w:p w14:paraId="05FEBAE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发包人向承包人提供图纸的内容：</w:t>
      </w:r>
      <w:r>
        <w:rPr>
          <w:rFonts w:hint="eastAsia" w:ascii="仿宋" w:hAnsi="仿宋" w:eastAsia="仿宋" w:cs="仿宋"/>
          <w:sz w:val="28"/>
          <w:szCs w:val="28"/>
          <w:u w:val="single"/>
        </w:rPr>
        <w:t>施工图</w:t>
      </w:r>
      <w:r>
        <w:rPr>
          <w:rFonts w:hint="eastAsia" w:ascii="仿宋" w:hAnsi="仿宋" w:eastAsia="仿宋" w:cs="仿宋"/>
          <w:sz w:val="28"/>
          <w:szCs w:val="28"/>
        </w:rPr>
        <w:t>。</w:t>
      </w:r>
    </w:p>
    <w:p w14:paraId="0C5820F6">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1.6.4承包人文件</w:t>
      </w:r>
    </w:p>
    <w:p w14:paraId="3D003BFE">
      <w:pPr>
        <w:spacing w:line="360" w:lineRule="exact"/>
        <w:ind w:firstLine="520" w:firstLineChars="186"/>
        <w:jc w:val="left"/>
        <w:rPr>
          <w:rFonts w:ascii="仿宋" w:hAnsi="仿宋" w:eastAsia="仿宋" w:cs="仿宋"/>
          <w:sz w:val="28"/>
          <w:szCs w:val="28"/>
        </w:rPr>
      </w:pPr>
      <w:r>
        <w:rPr>
          <w:rFonts w:hint="eastAsia" w:ascii="仿宋" w:hAnsi="仿宋" w:eastAsia="仿宋" w:cs="仿宋"/>
          <w:sz w:val="28"/>
          <w:szCs w:val="28"/>
        </w:rPr>
        <w:t>需要由承包人提供的文件，包括：</w:t>
      </w:r>
      <w:r>
        <w:rPr>
          <w:rFonts w:hint="eastAsia" w:ascii="仿宋" w:hAnsi="仿宋" w:eastAsia="仿宋" w:cs="仿宋"/>
          <w:sz w:val="28"/>
          <w:szCs w:val="28"/>
          <w:u w:val="single"/>
        </w:rPr>
        <w:t>施工组织设计、工程进度计划、质量保证资料、质量自检资料、专项安全施工方案、工程验收申请、工程款支付申请、部分工程的大样图、加工图、进场材料检验合格证明、出厂合格证书、说明书、设备、材料、成品、半成品进场计划、勘查及测量资料等</w:t>
      </w:r>
      <w:r>
        <w:rPr>
          <w:rFonts w:hint="eastAsia" w:ascii="仿宋" w:hAnsi="仿宋" w:eastAsia="仿宋" w:cs="仿宋"/>
          <w:sz w:val="28"/>
          <w:szCs w:val="28"/>
        </w:rPr>
        <w:t>；</w:t>
      </w:r>
    </w:p>
    <w:p w14:paraId="2A54C8BC">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承包人提供的文件的期限为：</w:t>
      </w:r>
      <w:r>
        <w:rPr>
          <w:rFonts w:hint="eastAsia" w:ascii="仿宋" w:hAnsi="仿宋" w:eastAsia="仿宋" w:cs="仿宋"/>
          <w:sz w:val="28"/>
          <w:szCs w:val="28"/>
          <w:u w:val="single"/>
        </w:rPr>
        <w:t>签订合同后以及事项发生前7日内</w:t>
      </w:r>
      <w:r>
        <w:rPr>
          <w:rFonts w:hint="eastAsia" w:ascii="仿宋" w:hAnsi="仿宋" w:eastAsia="仿宋" w:cs="仿宋"/>
          <w:sz w:val="28"/>
          <w:szCs w:val="28"/>
        </w:rPr>
        <w:t>；</w:t>
      </w:r>
    </w:p>
    <w:p w14:paraId="363AB5F4">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承包人提供的文件的数量为：</w:t>
      </w:r>
      <w:r>
        <w:rPr>
          <w:rFonts w:hint="eastAsia" w:ascii="仿宋" w:hAnsi="仿宋" w:eastAsia="仿宋" w:cs="仿宋"/>
          <w:sz w:val="28"/>
          <w:szCs w:val="28"/>
          <w:u w:val="single"/>
        </w:rPr>
        <w:t>叁份</w:t>
      </w:r>
      <w:r>
        <w:rPr>
          <w:rFonts w:hint="eastAsia" w:ascii="仿宋" w:hAnsi="仿宋" w:eastAsia="仿宋" w:cs="仿宋"/>
          <w:sz w:val="28"/>
          <w:szCs w:val="28"/>
        </w:rPr>
        <w:t>；</w:t>
      </w:r>
    </w:p>
    <w:p w14:paraId="7A5580ED">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承包人提供的文件的形式为：</w:t>
      </w:r>
      <w:r>
        <w:rPr>
          <w:rFonts w:hint="eastAsia" w:ascii="仿宋" w:hAnsi="仿宋" w:eastAsia="仿宋" w:cs="仿宋"/>
          <w:sz w:val="28"/>
          <w:szCs w:val="28"/>
          <w:u w:val="single"/>
        </w:rPr>
        <w:t>书面和电子文档</w:t>
      </w:r>
      <w:r>
        <w:rPr>
          <w:rFonts w:hint="eastAsia" w:ascii="仿宋" w:hAnsi="仿宋" w:eastAsia="仿宋" w:cs="仿宋"/>
          <w:sz w:val="28"/>
          <w:szCs w:val="28"/>
        </w:rPr>
        <w:t>；</w:t>
      </w:r>
    </w:p>
    <w:p w14:paraId="7ECFEC0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发包人审批承包人文件的期限：</w:t>
      </w:r>
      <w:r>
        <w:rPr>
          <w:rFonts w:hint="eastAsia" w:ascii="仿宋" w:hAnsi="仿宋" w:eastAsia="仿宋" w:cs="仿宋"/>
          <w:sz w:val="28"/>
          <w:szCs w:val="28"/>
          <w:u w:val="single"/>
        </w:rPr>
        <w:t>收到文件后7日内</w:t>
      </w:r>
      <w:r>
        <w:rPr>
          <w:rFonts w:hint="eastAsia" w:ascii="仿宋" w:hAnsi="仿宋" w:eastAsia="仿宋" w:cs="仿宋"/>
          <w:sz w:val="28"/>
          <w:szCs w:val="28"/>
        </w:rPr>
        <w:t>。</w:t>
      </w:r>
    </w:p>
    <w:p w14:paraId="0742AF5B">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1.6.5</w:t>
      </w:r>
      <w:r>
        <w:rPr>
          <w:rFonts w:hint="eastAsia" w:ascii="仿宋" w:hAnsi="仿宋" w:eastAsia="仿宋" w:cs="仿宋"/>
          <w:sz w:val="28"/>
          <w:szCs w:val="28"/>
        </w:rPr>
        <w:t>现场图纸准备</w:t>
      </w:r>
    </w:p>
    <w:p w14:paraId="0C155C9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关于现场图纸准备的约定：</w:t>
      </w:r>
      <w:r>
        <w:rPr>
          <w:rFonts w:hint="eastAsia" w:ascii="仿宋" w:hAnsi="仿宋" w:eastAsia="仿宋" w:cs="仿宋"/>
          <w:sz w:val="28"/>
          <w:szCs w:val="28"/>
          <w:u w:val="single"/>
        </w:rPr>
        <w:t>/</w:t>
      </w:r>
      <w:r>
        <w:rPr>
          <w:rFonts w:hint="eastAsia" w:ascii="仿宋" w:hAnsi="仿宋" w:eastAsia="仿宋" w:cs="仿宋"/>
          <w:sz w:val="28"/>
          <w:szCs w:val="28"/>
        </w:rPr>
        <w:t>。</w:t>
      </w:r>
    </w:p>
    <w:p w14:paraId="4EABF3D8">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1.7联络</w:t>
      </w:r>
    </w:p>
    <w:p w14:paraId="12912CA6">
      <w:pPr>
        <w:spacing w:line="36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1.7.1</w:t>
      </w:r>
      <w:r>
        <w:rPr>
          <w:rFonts w:hint="eastAsia" w:ascii="仿宋" w:hAnsi="仿宋" w:eastAsia="仿宋" w:cs="仿宋"/>
          <w:kern w:val="0"/>
          <w:sz w:val="28"/>
          <w:szCs w:val="28"/>
        </w:rPr>
        <w:t>发包人和承包人应当在</w:t>
      </w:r>
      <w:r>
        <w:rPr>
          <w:rFonts w:hint="eastAsia" w:ascii="仿宋" w:hAnsi="仿宋" w:eastAsia="仿宋" w:cs="仿宋"/>
          <w:sz w:val="28"/>
          <w:szCs w:val="28"/>
          <w:u w:val="single"/>
        </w:rPr>
        <w:t>2</w:t>
      </w:r>
      <w:r>
        <w:rPr>
          <w:rFonts w:hint="eastAsia" w:ascii="仿宋" w:hAnsi="仿宋" w:eastAsia="仿宋" w:cs="仿宋"/>
          <w:kern w:val="0"/>
          <w:sz w:val="28"/>
          <w:szCs w:val="28"/>
        </w:rPr>
        <w:t>天内将与合同有关的通知、批准、证明、证书、指示、指令、要求、请求、同意、意见、确定和决定等书面函件送达对方当事人。</w:t>
      </w:r>
    </w:p>
    <w:p w14:paraId="539115FE">
      <w:pPr>
        <w:spacing w:line="360" w:lineRule="exact"/>
        <w:ind w:firstLine="562" w:firstLineChars="200"/>
        <w:rPr>
          <w:rFonts w:ascii="仿宋" w:hAnsi="仿宋" w:eastAsia="仿宋" w:cs="仿宋"/>
          <w:kern w:val="0"/>
          <w:sz w:val="28"/>
          <w:szCs w:val="28"/>
        </w:rPr>
      </w:pPr>
      <w:r>
        <w:rPr>
          <w:rFonts w:hint="eastAsia" w:ascii="仿宋" w:hAnsi="仿宋" w:eastAsia="仿宋" w:cs="仿宋"/>
          <w:b/>
          <w:bCs/>
          <w:kern w:val="0"/>
          <w:sz w:val="28"/>
          <w:szCs w:val="28"/>
        </w:rPr>
        <w:t>1.7.2</w:t>
      </w:r>
      <w:r>
        <w:rPr>
          <w:rFonts w:hint="eastAsia" w:ascii="仿宋" w:hAnsi="仿宋" w:eastAsia="仿宋" w:cs="仿宋"/>
          <w:kern w:val="0"/>
          <w:sz w:val="28"/>
          <w:szCs w:val="28"/>
        </w:rPr>
        <w:t>发包人接收文件的地点：</w:t>
      </w:r>
      <w:r>
        <w:rPr>
          <w:rFonts w:hint="eastAsia" w:ascii="仿宋" w:hAnsi="仿宋" w:eastAsia="仿宋" w:cs="仿宋"/>
          <w:sz w:val="28"/>
          <w:szCs w:val="28"/>
          <w:u w:val="single"/>
        </w:rPr>
        <w:t>/</w:t>
      </w:r>
      <w:r>
        <w:rPr>
          <w:rFonts w:hint="eastAsia" w:ascii="仿宋" w:hAnsi="仿宋" w:eastAsia="仿宋" w:cs="仿宋"/>
          <w:kern w:val="0"/>
          <w:sz w:val="28"/>
          <w:szCs w:val="28"/>
        </w:rPr>
        <w:t>；</w:t>
      </w:r>
    </w:p>
    <w:p w14:paraId="574120F0">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发包人指定的接收人为：</w:t>
      </w:r>
      <w:r>
        <w:rPr>
          <w:rFonts w:hint="eastAsia" w:ascii="仿宋" w:hAnsi="仿宋" w:eastAsia="仿宋" w:cs="仿宋"/>
          <w:sz w:val="28"/>
          <w:szCs w:val="28"/>
          <w:u w:val="single"/>
        </w:rPr>
        <w:t>/</w:t>
      </w:r>
      <w:r>
        <w:rPr>
          <w:rFonts w:hint="eastAsia" w:ascii="仿宋" w:hAnsi="仿宋" w:eastAsia="仿宋" w:cs="仿宋"/>
          <w:kern w:val="0"/>
          <w:sz w:val="28"/>
          <w:szCs w:val="28"/>
        </w:rPr>
        <w:t>。</w:t>
      </w:r>
    </w:p>
    <w:p w14:paraId="7A0E7A8F">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承包人接收文件的地点：</w:t>
      </w:r>
      <w:r>
        <w:rPr>
          <w:rFonts w:hint="eastAsia" w:ascii="仿宋" w:hAnsi="仿宋" w:eastAsia="仿宋" w:cs="仿宋"/>
          <w:sz w:val="28"/>
          <w:szCs w:val="28"/>
          <w:u w:val="single"/>
        </w:rPr>
        <w:t>/</w:t>
      </w:r>
      <w:r>
        <w:rPr>
          <w:rFonts w:hint="eastAsia" w:ascii="仿宋" w:hAnsi="仿宋" w:eastAsia="仿宋" w:cs="仿宋"/>
          <w:kern w:val="0"/>
          <w:sz w:val="28"/>
          <w:szCs w:val="28"/>
        </w:rPr>
        <w:t>；</w:t>
      </w:r>
    </w:p>
    <w:p w14:paraId="27A90FDD">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承包人指定的接收人为：</w:t>
      </w:r>
      <w:r>
        <w:rPr>
          <w:rFonts w:hint="eastAsia" w:ascii="仿宋" w:hAnsi="仿宋" w:eastAsia="仿宋" w:cs="仿宋"/>
          <w:sz w:val="28"/>
          <w:szCs w:val="28"/>
          <w:u w:val="single"/>
        </w:rPr>
        <w:t>/</w:t>
      </w:r>
      <w:r>
        <w:rPr>
          <w:rFonts w:hint="eastAsia" w:ascii="仿宋" w:hAnsi="仿宋" w:eastAsia="仿宋" w:cs="仿宋"/>
          <w:kern w:val="0"/>
          <w:sz w:val="28"/>
          <w:szCs w:val="28"/>
        </w:rPr>
        <w:t>。</w:t>
      </w:r>
    </w:p>
    <w:p w14:paraId="13732BC8">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监理人接收文件的地点：</w:t>
      </w:r>
      <w:r>
        <w:rPr>
          <w:rFonts w:hint="eastAsia" w:ascii="仿宋" w:hAnsi="仿宋" w:eastAsia="仿宋" w:cs="仿宋"/>
          <w:sz w:val="28"/>
          <w:szCs w:val="28"/>
          <w:u w:val="single"/>
        </w:rPr>
        <w:t>/</w:t>
      </w:r>
      <w:r>
        <w:rPr>
          <w:rFonts w:hint="eastAsia" w:ascii="仿宋" w:hAnsi="仿宋" w:eastAsia="仿宋" w:cs="仿宋"/>
          <w:kern w:val="0"/>
          <w:sz w:val="28"/>
          <w:szCs w:val="28"/>
        </w:rPr>
        <w:t>；</w:t>
      </w:r>
    </w:p>
    <w:p w14:paraId="7F8DBE9A">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监理人指定的接收人为：</w:t>
      </w:r>
      <w:r>
        <w:rPr>
          <w:rFonts w:hint="eastAsia" w:ascii="仿宋" w:hAnsi="仿宋" w:eastAsia="仿宋" w:cs="仿宋"/>
          <w:sz w:val="28"/>
          <w:szCs w:val="28"/>
          <w:u w:val="single"/>
        </w:rPr>
        <w:t>/</w:t>
      </w:r>
      <w:r>
        <w:rPr>
          <w:rFonts w:hint="eastAsia" w:ascii="仿宋" w:hAnsi="仿宋" w:eastAsia="仿宋" w:cs="仿宋"/>
          <w:kern w:val="0"/>
          <w:sz w:val="28"/>
          <w:szCs w:val="28"/>
        </w:rPr>
        <w:t>。</w:t>
      </w:r>
    </w:p>
    <w:p w14:paraId="3E9E4114">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以上接收地点及接收人由发包人、承包人、监理人另行书面通知。</w:t>
      </w:r>
    </w:p>
    <w:p w14:paraId="33D59C92">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1.10交通运输</w:t>
      </w:r>
    </w:p>
    <w:p w14:paraId="22936B58">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w:t>
      </w:r>
      <w:bookmarkStart w:id="60" w:name="_Toc318581155"/>
      <w:bookmarkStart w:id="61" w:name="_Toc312677986"/>
      <w:bookmarkStart w:id="62" w:name="_Toc303539100"/>
      <w:bookmarkStart w:id="63" w:name="_Toc304295521"/>
      <w:bookmarkStart w:id="64" w:name="_Toc300934943"/>
      <w:r>
        <w:rPr>
          <w:rFonts w:hint="eastAsia" w:ascii="仿宋" w:hAnsi="仿宋" w:eastAsia="仿宋" w:cs="仿宋"/>
          <w:b/>
          <w:bCs/>
          <w:sz w:val="28"/>
          <w:szCs w:val="28"/>
        </w:rPr>
        <w:t>.10.1</w:t>
      </w:r>
      <w:r>
        <w:rPr>
          <w:rFonts w:hint="eastAsia" w:ascii="仿宋" w:hAnsi="仿宋" w:eastAsia="仿宋" w:cs="仿宋"/>
          <w:sz w:val="28"/>
          <w:szCs w:val="28"/>
        </w:rPr>
        <w:t>出入现场的权利</w:t>
      </w:r>
    </w:p>
    <w:p w14:paraId="14101232">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关于出入现场的权利的约定：</w:t>
      </w:r>
      <w:r>
        <w:rPr>
          <w:rFonts w:hint="eastAsia" w:ascii="仿宋" w:hAnsi="仿宋" w:eastAsia="仿宋" w:cs="仿宋"/>
          <w:sz w:val="28"/>
          <w:szCs w:val="28"/>
          <w:u w:val="single"/>
        </w:rPr>
        <w:t>承包人修建的临时道路和交通设施应免费提供发包人和监理人使用。承包人车辆外出行驶所需的场外公共道路的</w:t>
      </w:r>
      <w:r>
        <w:rPr>
          <w:rFonts w:hint="eastAsia" w:ascii="仿宋" w:hAnsi="仿宋" w:eastAsia="仿宋" w:cs="仿宋"/>
          <w:kern w:val="0"/>
          <w:sz w:val="28"/>
          <w:szCs w:val="28"/>
          <w:u w:val="single"/>
        </w:rPr>
        <w:t>各种税费均</w:t>
      </w:r>
      <w:r>
        <w:rPr>
          <w:rFonts w:hint="eastAsia" w:ascii="仿宋" w:hAnsi="仿宋" w:eastAsia="仿宋" w:cs="仿宋"/>
          <w:sz w:val="28"/>
          <w:szCs w:val="28"/>
          <w:u w:val="single"/>
        </w:rPr>
        <w:t>由承包人承担。承包人运输造成施工场地内外公共道路和桥梁等公共基础设施损坏的，由承包人承担修复损坏的全部费用和可能引起的赔偿</w:t>
      </w:r>
      <w:r>
        <w:rPr>
          <w:rFonts w:hint="eastAsia" w:ascii="仿宋" w:hAnsi="仿宋" w:eastAsia="仿宋" w:cs="仿宋"/>
          <w:sz w:val="28"/>
          <w:szCs w:val="28"/>
        </w:rPr>
        <w:t>。</w:t>
      </w:r>
    </w:p>
    <w:bookmarkEnd w:id="60"/>
    <w:bookmarkEnd w:id="61"/>
    <w:bookmarkEnd w:id="62"/>
    <w:bookmarkEnd w:id="63"/>
    <w:bookmarkEnd w:id="64"/>
    <w:p w14:paraId="0B9DC3EB">
      <w:pPr>
        <w:spacing w:line="36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1</w:t>
      </w:r>
      <w:bookmarkStart w:id="65" w:name="_Toc312677987"/>
      <w:bookmarkStart w:id="66" w:name="_Toc318581156"/>
      <w:bookmarkStart w:id="67" w:name="_Toc304295522"/>
      <w:bookmarkStart w:id="68" w:name="_Toc303539101"/>
      <w:bookmarkStart w:id="69" w:name="_Toc300934944"/>
      <w:r>
        <w:rPr>
          <w:rFonts w:hint="eastAsia" w:ascii="仿宋" w:hAnsi="仿宋" w:eastAsia="仿宋" w:cs="仿宋"/>
          <w:b/>
          <w:bCs/>
          <w:sz w:val="28"/>
          <w:szCs w:val="28"/>
        </w:rPr>
        <w:t>.10.3</w:t>
      </w:r>
      <w:r>
        <w:rPr>
          <w:rFonts w:hint="eastAsia" w:ascii="仿宋" w:hAnsi="仿宋" w:eastAsia="仿宋" w:cs="仿宋"/>
          <w:sz w:val="28"/>
          <w:szCs w:val="28"/>
        </w:rPr>
        <w:t>场内交通</w:t>
      </w:r>
    </w:p>
    <w:p w14:paraId="2B29063E">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关于场外交通和场内交通的边界的约定：</w:t>
      </w:r>
      <w:r>
        <w:rPr>
          <w:rFonts w:hint="eastAsia" w:ascii="仿宋" w:hAnsi="仿宋" w:eastAsia="仿宋" w:cs="仿宋"/>
          <w:kern w:val="0"/>
          <w:sz w:val="28"/>
          <w:szCs w:val="28"/>
          <w:u w:val="single"/>
        </w:rPr>
        <w:t>以</w:t>
      </w:r>
      <w:r>
        <w:rPr>
          <w:rFonts w:hint="eastAsia" w:ascii="仿宋" w:hAnsi="仿宋" w:eastAsia="仿宋" w:cs="仿宋"/>
          <w:sz w:val="28"/>
          <w:szCs w:val="28"/>
          <w:u w:val="single"/>
        </w:rPr>
        <w:t>项目征地红线为界</w:t>
      </w:r>
      <w:r>
        <w:rPr>
          <w:rFonts w:hint="eastAsia" w:ascii="仿宋" w:hAnsi="仿宋" w:eastAsia="仿宋" w:cs="仿宋"/>
          <w:sz w:val="28"/>
          <w:szCs w:val="28"/>
        </w:rPr>
        <w:t>。</w:t>
      </w:r>
    </w:p>
    <w:p w14:paraId="3D7F464B">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关于发包人向承包人免费提供满足工程施工需要的场内道路和交通设施的约定：</w:t>
      </w:r>
      <w:r>
        <w:rPr>
          <w:rFonts w:hint="eastAsia" w:ascii="仿宋" w:hAnsi="仿宋" w:eastAsia="仿宋" w:cs="仿宋"/>
          <w:sz w:val="28"/>
          <w:szCs w:val="28"/>
          <w:u w:val="single"/>
        </w:rPr>
        <w:t>承包人应根据合同工程的施工需要，负责办理取得出入施工场地的专用和临时道路的通行权，以及取得为工程建设所需修建场外设施的权利，并承担有关费用。需要发包人协调时，发包人应协助承包人办理相关手续。</w:t>
      </w:r>
      <w:bookmarkEnd w:id="65"/>
      <w:bookmarkEnd w:id="66"/>
      <w:bookmarkEnd w:id="67"/>
      <w:bookmarkEnd w:id="68"/>
      <w:bookmarkEnd w:id="69"/>
      <w:r>
        <w:rPr>
          <w:rFonts w:hint="eastAsia" w:ascii="仿宋" w:hAnsi="仿宋" w:eastAsia="仿宋" w:cs="仿宋"/>
          <w:sz w:val="28"/>
          <w:szCs w:val="28"/>
          <w:u w:val="single"/>
        </w:rPr>
        <w:t>承包人应负责修建、维修、养护和管理施工所需的临时道路和交通设施，包括维修、养护和管理发包人提供的道路和交通设施，并承担相应费用</w:t>
      </w:r>
      <w:r>
        <w:rPr>
          <w:rFonts w:hint="eastAsia" w:ascii="仿宋" w:hAnsi="仿宋" w:eastAsia="仿宋" w:cs="仿宋"/>
          <w:sz w:val="28"/>
          <w:szCs w:val="28"/>
        </w:rPr>
        <w:t>。</w:t>
      </w:r>
      <w:bookmarkStart w:id="70" w:name="_Toc318581157"/>
    </w:p>
    <w:p w14:paraId="6765D4CE">
      <w:pPr>
        <w:spacing w:line="36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1.10.4</w:t>
      </w:r>
      <w:r>
        <w:rPr>
          <w:rFonts w:hint="eastAsia" w:ascii="仿宋" w:hAnsi="仿宋" w:eastAsia="仿宋" w:cs="仿宋"/>
          <w:sz w:val="28"/>
          <w:szCs w:val="28"/>
        </w:rPr>
        <w:t>超大件和超重件的运输</w:t>
      </w:r>
    </w:p>
    <w:p w14:paraId="18926A1B">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运输超大件或超重件所需的道路和桥梁临时加固改造费用和其他有关费用由</w:t>
      </w:r>
      <w:r>
        <w:rPr>
          <w:rFonts w:hint="eastAsia" w:ascii="仿宋" w:hAnsi="仿宋" w:eastAsia="仿宋" w:cs="仿宋"/>
          <w:sz w:val="28"/>
          <w:szCs w:val="28"/>
          <w:u w:val="single"/>
        </w:rPr>
        <w:t>承包人</w:t>
      </w:r>
      <w:r>
        <w:rPr>
          <w:rFonts w:hint="eastAsia" w:ascii="仿宋" w:hAnsi="仿宋" w:eastAsia="仿宋" w:cs="仿宋"/>
          <w:sz w:val="28"/>
          <w:szCs w:val="28"/>
        </w:rPr>
        <w:t>承担。</w:t>
      </w:r>
    </w:p>
    <w:bookmarkEnd w:id="70"/>
    <w:p w14:paraId="15002BB9">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1.11知识产权</w:t>
      </w:r>
    </w:p>
    <w:p w14:paraId="4BE08AC2">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1.11.1</w:t>
      </w:r>
      <w:r>
        <w:rPr>
          <w:rFonts w:hint="eastAsia" w:ascii="仿宋" w:hAnsi="仿宋" w:eastAsia="仿宋" w:cs="仿宋"/>
          <w:sz w:val="28"/>
          <w:szCs w:val="28"/>
        </w:rPr>
        <w:t>关于发包人提供给承包人的图纸、发包人为实施工程自行编制或委托编制的技术规范以及反映发包人关于合同要求或其他类似性质的文件的著作权的归属：</w:t>
      </w:r>
      <w:r>
        <w:rPr>
          <w:rFonts w:hint="eastAsia" w:ascii="仿宋" w:hAnsi="仿宋" w:eastAsia="仿宋" w:cs="仿宋"/>
          <w:sz w:val="28"/>
          <w:szCs w:val="28"/>
          <w:u w:val="single"/>
        </w:rPr>
        <w:t>发包人所有</w:t>
      </w:r>
      <w:r>
        <w:rPr>
          <w:rFonts w:hint="eastAsia" w:ascii="仿宋" w:hAnsi="仿宋" w:eastAsia="仿宋" w:cs="仿宋"/>
          <w:sz w:val="28"/>
          <w:szCs w:val="28"/>
        </w:rPr>
        <w:t>。</w:t>
      </w:r>
    </w:p>
    <w:p w14:paraId="15D7ACCA">
      <w:pPr>
        <w:spacing w:line="360" w:lineRule="exact"/>
        <w:ind w:firstLine="618" w:firstLineChars="221"/>
        <w:rPr>
          <w:rFonts w:ascii="仿宋" w:hAnsi="仿宋" w:eastAsia="仿宋" w:cs="仿宋"/>
          <w:sz w:val="28"/>
          <w:szCs w:val="28"/>
          <w:u w:val="single"/>
        </w:rPr>
      </w:pPr>
      <w:r>
        <w:rPr>
          <w:rFonts w:hint="eastAsia" w:ascii="仿宋" w:hAnsi="仿宋" w:eastAsia="仿宋" w:cs="仿宋"/>
          <w:sz w:val="28"/>
          <w:szCs w:val="28"/>
        </w:rPr>
        <w:t>关于发包人提供的上述文件的使用限制的要求：</w:t>
      </w:r>
      <w:r>
        <w:rPr>
          <w:rFonts w:hint="eastAsia" w:ascii="仿宋" w:hAnsi="仿宋" w:eastAsia="仿宋" w:cs="仿宋"/>
          <w:sz w:val="28"/>
          <w:szCs w:val="28"/>
          <w:u w:val="single"/>
        </w:rPr>
        <w:t>承包人不得提供给第三方使用或用于非本工程的项目</w:t>
      </w:r>
      <w:r>
        <w:rPr>
          <w:rFonts w:hint="eastAsia" w:ascii="仿宋" w:hAnsi="仿宋" w:eastAsia="仿宋" w:cs="仿宋"/>
          <w:sz w:val="28"/>
          <w:szCs w:val="28"/>
        </w:rPr>
        <w:t>。</w:t>
      </w:r>
    </w:p>
    <w:p w14:paraId="48B4E25A">
      <w:pPr>
        <w:spacing w:line="360" w:lineRule="exact"/>
        <w:ind w:firstLine="523" w:firstLineChars="186"/>
        <w:rPr>
          <w:rFonts w:ascii="仿宋" w:hAnsi="仿宋" w:eastAsia="仿宋" w:cs="仿宋"/>
          <w:sz w:val="28"/>
          <w:szCs w:val="28"/>
        </w:rPr>
      </w:pPr>
      <w:r>
        <w:rPr>
          <w:rFonts w:hint="eastAsia" w:ascii="仿宋" w:hAnsi="仿宋" w:eastAsia="仿宋" w:cs="仿宋"/>
          <w:b/>
          <w:bCs/>
          <w:sz w:val="28"/>
          <w:szCs w:val="28"/>
        </w:rPr>
        <w:t>1.11.2</w:t>
      </w:r>
      <w:r>
        <w:rPr>
          <w:rFonts w:hint="eastAsia" w:ascii="仿宋" w:hAnsi="仿宋" w:eastAsia="仿宋" w:cs="仿宋"/>
          <w:sz w:val="28"/>
          <w:szCs w:val="28"/>
        </w:rPr>
        <w:t>关于承包人为实施工程所编制文件的著作权的归属：</w:t>
      </w:r>
      <w:r>
        <w:rPr>
          <w:rFonts w:hint="eastAsia" w:ascii="仿宋" w:hAnsi="仿宋" w:eastAsia="仿宋" w:cs="仿宋"/>
          <w:sz w:val="28"/>
          <w:szCs w:val="28"/>
          <w:u w:val="single"/>
        </w:rPr>
        <w:t>承包人所有</w:t>
      </w:r>
      <w:r>
        <w:rPr>
          <w:rFonts w:hint="eastAsia" w:ascii="仿宋" w:hAnsi="仿宋" w:eastAsia="仿宋" w:cs="仿宋"/>
          <w:sz w:val="28"/>
          <w:szCs w:val="28"/>
        </w:rPr>
        <w:t>。</w:t>
      </w:r>
    </w:p>
    <w:p w14:paraId="70861A75">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关于承包人提供的上述文件的使用限制的要求：</w:t>
      </w:r>
      <w:r>
        <w:rPr>
          <w:rFonts w:hint="eastAsia" w:ascii="仿宋" w:hAnsi="仿宋" w:eastAsia="仿宋" w:cs="仿宋"/>
          <w:sz w:val="28"/>
          <w:szCs w:val="28"/>
          <w:u w:val="single"/>
        </w:rPr>
        <w:t>只限于用于本工程未经承包人允许不得用于其他或提供给第三方</w:t>
      </w:r>
      <w:r>
        <w:rPr>
          <w:rFonts w:hint="eastAsia" w:ascii="仿宋" w:hAnsi="仿宋" w:eastAsia="仿宋" w:cs="仿宋"/>
          <w:sz w:val="28"/>
          <w:szCs w:val="28"/>
        </w:rPr>
        <w:t>。</w:t>
      </w:r>
    </w:p>
    <w:p w14:paraId="39F00C44">
      <w:pPr>
        <w:spacing w:line="360" w:lineRule="exact"/>
        <w:ind w:firstLine="562" w:firstLineChars="200"/>
        <w:rPr>
          <w:rFonts w:ascii="仿宋" w:hAnsi="仿宋" w:eastAsia="仿宋" w:cs="仿宋"/>
          <w:kern w:val="0"/>
          <w:sz w:val="28"/>
          <w:szCs w:val="28"/>
        </w:rPr>
      </w:pPr>
      <w:r>
        <w:rPr>
          <w:rFonts w:hint="eastAsia" w:ascii="仿宋" w:hAnsi="仿宋" w:eastAsia="仿宋" w:cs="仿宋"/>
          <w:b/>
          <w:bCs/>
          <w:sz w:val="28"/>
          <w:szCs w:val="28"/>
        </w:rPr>
        <w:t>1.11.4</w:t>
      </w:r>
      <w:r>
        <w:rPr>
          <w:rFonts w:hint="eastAsia" w:ascii="仿宋" w:hAnsi="仿宋" w:eastAsia="仿宋" w:cs="仿宋"/>
          <w:sz w:val="28"/>
          <w:szCs w:val="28"/>
        </w:rPr>
        <w:t>承包人在施工过程中所采用的专利、专有技术、技术秘密的使用费的承担方式：</w:t>
      </w:r>
      <w:r>
        <w:rPr>
          <w:rFonts w:hint="eastAsia" w:ascii="仿宋" w:hAnsi="仿宋" w:eastAsia="仿宋" w:cs="仿宋"/>
          <w:sz w:val="28"/>
          <w:szCs w:val="28"/>
          <w:u w:val="single"/>
        </w:rPr>
        <w:t>承包人承担</w:t>
      </w:r>
      <w:r>
        <w:rPr>
          <w:rFonts w:hint="eastAsia" w:ascii="仿宋" w:hAnsi="仿宋" w:eastAsia="仿宋" w:cs="仿宋"/>
          <w:kern w:val="0"/>
          <w:sz w:val="28"/>
          <w:szCs w:val="28"/>
        </w:rPr>
        <w:t>。</w:t>
      </w:r>
    </w:p>
    <w:p w14:paraId="76EA6E2C">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1.13工程量清单错误的修正</w:t>
      </w:r>
    </w:p>
    <w:p w14:paraId="111EFC7E">
      <w:pPr>
        <w:spacing w:line="360" w:lineRule="exact"/>
        <w:ind w:firstLine="562" w:firstLineChars="200"/>
        <w:rPr>
          <w:rFonts w:ascii="仿宋" w:hAnsi="仿宋" w:eastAsia="仿宋" w:cs="仿宋"/>
          <w:sz w:val="28"/>
          <w:szCs w:val="28"/>
        </w:rPr>
      </w:pPr>
      <w:bookmarkStart w:id="71" w:name="_Toc351203634"/>
      <w:r>
        <w:rPr>
          <w:rFonts w:hint="eastAsia" w:ascii="仿宋" w:hAnsi="仿宋" w:eastAsia="仿宋" w:cs="仿宋"/>
          <w:b/>
          <w:sz w:val="28"/>
          <w:szCs w:val="28"/>
        </w:rPr>
        <w:t>1.13.1</w:t>
      </w:r>
      <w:r>
        <w:rPr>
          <w:rFonts w:hint="eastAsia" w:ascii="仿宋" w:hAnsi="仿宋" w:eastAsia="仿宋" w:cs="仿宋"/>
          <w:sz w:val="28"/>
          <w:szCs w:val="28"/>
        </w:rPr>
        <w:t>承包人进场后30日内必须完成工程量清单的复核工作；并将复核后的工程量清单报监理人和发包人批准后作为最终的工程量清单；后续不再对工程量清单的错误进行调整。</w:t>
      </w:r>
    </w:p>
    <w:p w14:paraId="2BA4D210">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1.13.2</w:t>
      </w:r>
      <w:r>
        <w:rPr>
          <w:rFonts w:hint="eastAsia" w:ascii="仿宋" w:hAnsi="仿宋" w:eastAsia="仿宋" w:cs="仿宋"/>
          <w:sz w:val="28"/>
          <w:szCs w:val="28"/>
        </w:rPr>
        <w:t>工程计量时，工程变更引起工程量的增减，经发包人和监理人认可，可按承包人在履行合同义务过程中实际完成的工程量计算。</w:t>
      </w:r>
    </w:p>
    <w:p w14:paraId="0689BB5A">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1.13.3</w:t>
      </w:r>
      <w:r>
        <w:rPr>
          <w:rFonts w:hint="eastAsia" w:ascii="仿宋" w:hAnsi="仿宋" w:eastAsia="仿宋" w:cs="仿宋"/>
          <w:sz w:val="28"/>
          <w:szCs w:val="28"/>
        </w:rPr>
        <w:t>非承包人原因的工程变更，造成增加新的工程量清单项目或工程量清单数量的增减，其相应的综合单价，若投标报价清单中有的则按原投标综合单价确定，投标报价清单中没有的，按</w:t>
      </w:r>
      <w:r>
        <w:rPr>
          <w:rFonts w:hint="eastAsia" w:ascii="仿宋" w:hAnsi="仿宋" w:eastAsia="仿宋" w:cs="仿宋"/>
          <w:sz w:val="28"/>
          <w:szCs w:val="28"/>
          <w:lang w:val="en-US" w:eastAsia="zh-CN"/>
        </w:rPr>
        <w:t>甲方</w:t>
      </w:r>
      <w:r>
        <w:rPr>
          <w:rFonts w:hint="eastAsia" w:ascii="仿宋" w:hAnsi="仿宋" w:eastAsia="仿宋" w:cs="仿宋"/>
          <w:sz w:val="28"/>
          <w:szCs w:val="28"/>
        </w:rPr>
        <w:t>预算审核的综合单价编制方式、计价办法执行，相关取费标准按预算当期相应标准执行，最后乘以承包人中标下浮率确定。</w:t>
      </w:r>
    </w:p>
    <w:p w14:paraId="00CA432E">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1.13.4</w:t>
      </w:r>
      <w:r>
        <w:rPr>
          <w:rFonts w:hint="eastAsia" w:ascii="仿宋" w:hAnsi="仿宋" w:eastAsia="仿宋" w:cs="仿宋"/>
          <w:sz w:val="28"/>
          <w:szCs w:val="28"/>
        </w:rPr>
        <w:t>非承包人原因的工程变更，引起措施项目发生变化，造成施工组织设计或施工方案变更，原措施费中已有的措施项目，按原措施费的组价方法调整；原措施费中没有的措施项目，由承包人根据措施项目变更情况，提出适当的措施费变更，经发包人确认后调整。</w:t>
      </w:r>
    </w:p>
    <w:p w14:paraId="1FEAFB8A">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1.13.5</w:t>
      </w:r>
      <w:r>
        <w:rPr>
          <w:rFonts w:hint="eastAsia" w:ascii="仿宋" w:hAnsi="仿宋" w:eastAsia="仿宋" w:cs="仿宋"/>
          <w:sz w:val="28"/>
          <w:szCs w:val="28"/>
        </w:rPr>
        <w:t>工程量的变更经发包人、监理人和承包人认定后，金额超过合同暂定金额的30%，发包人有权采取包括但不限于重新招投标等相应措施。</w:t>
      </w:r>
    </w:p>
    <w:p w14:paraId="71D2DDC1">
      <w:pPr>
        <w:keepNext/>
        <w:keepLines/>
        <w:spacing w:line="360" w:lineRule="exact"/>
        <w:ind w:firstLine="562" w:firstLineChars="200"/>
        <w:outlineLvl w:val="3"/>
        <w:rPr>
          <w:rFonts w:ascii="仿宋" w:hAnsi="仿宋" w:eastAsia="仿宋" w:cs="仿宋"/>
          <w:b/>
          <w:sz w:val="28"/>
          <w:szCs w:val="28"/>
        </w:rPr>
      </w:pPr>
      <w:r>
        <w:rPr>
          <w:rFonts w:hint="eastAsia" w:ascii="仿宋" w:hAnsi="仿宋" w:eastAsia="仿宋" w:cs="仿宋"/>
          <w:b/>
          <w:sz w:val="28"/>
          <w:szCs w:val="28"/>
        </w:rPr>
        <w:t>2</w:t>
      </w:r>
      <w:bookmarkStart w:id="72" w:name="_Toc292559362"/>
      <w:bookmarkStart w:id="73" w:name="_Toc296891197"/>
      <w:bookmarkStart w:id="74" w:name="_Toc296890985"/>
      <w:bookmarkStart w:id="75" w:name="_Toc297048343"/>
      <w:bookmarkStart w:id="76" w:name="_Toc296346658"/>
      <w:bookmarkStart w:id="77" w:name="_Toc296347156"/>
      <w:bookmarkStart w:id="78" w:name="_Toc292559867"/>
      <w:bookmarkStart w:id="79" w:name="_Toc296944496"/>
      <w:bookmarkStart w:id="80" w:name="_Toc297120457"/>
      <w:bookmarkStart w:id="81" w:name="_Toc296503157"/>
      <w:r>
        <w:rPr>
          <w:rFonts w:hint="eastAsia" w:ascii="仿宋" w:hAnsi="仿宋" w:eastAsia="仿宋" w:cs="仿宋"/>
          <w:b/>
          <w:sz w:val="28"/>
          <w:szCs w:val="28"/>
        </w:rPr>
        <w:t>.发包人</w:t>
      </w:r>
      <w:bookmarkEnd w:id="71"/>
    </w:p>
    <w:bookmarkEnd w:id="72"/>
    <w:bookmarkEnd w:id="73"/>
    <w:bookmarkEnd w:id="74"/>
    <w:bookmarkEnd w:id="75"/>
    <w:bookmarkEnd w:id="76"/>
    <w:bookmarkEnd w:id="77"/>
    <w:bookmarkEnd w:id="78"/>
    <w:bookmarkEnd w:id="79"/>
    <w:bookmarkEnd w:id="80"/>
    <w:bookmarkEnd w:id="81"/>
    <w:p w14:paraId="2BB8E91F">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2.2发包人代表</w:t>
      </w:r>
    </w:p>
    <w:p w14:paraId="15B65A08">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发包人代表：</w:t>
      </w:r>
    </w:p>
    <w:p w14:paraId="5228C591">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姓    名：</w:t>
      </w:r>
      <w:r>
        <w:rPr>
          <w:rFonts w:hint="eastAsia" w:ascii="仿宋" w:hAnsi="仿宋" w:eastAsia="仿宋" w:cs="仿宋"/>
          <w:sz w:val="28"/>
          <w:szCs w:val="28"/>
          <w:u w:val="single"/>
        </w:rPr>
        <w:t>【】</w:t>
      </w:r>
      <w:r>
        <w:rPr>
          <w:rFonts w:hint="eastAsia" w:ascii="仿宋" w:hAnsi="仿宋" w:eastAsia="仿宋" w:cs="仿宋"/>
          <w:sz w:val="28"/>
          <w:szCs w:val="28"/>
        </w:rPr>
        <w:t>；</w:t>
      </w:r>
    </w:p>
    <w:p w14:paraId="0F0F439E">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身份证号：</w:t>
      </w:r>
      <w:r>
        <w:rPr>
          <w:rFonts w:hint="eastAsia" w:ascii="仿宋" w:hAnsi="仿宋" w:eastAsia="仿宋" w:cs="仿宋"/>
          <w:sz w:val="28"/>
          <w:szCs w:val="28"/>
          <w:u w:val="single"/>
        </w:rPr>
        <w:t>【】</w:t>
      </w:r>
      <w:r>
        <w:rPr>
          <w:rFonts w:hint="eastAsia" w:ascii="仿宋" w:hAnsi="仿宋" w:eastAsia="仿宋" w:cs="仿宋"/>
          <w:sz w:val="28"/>
          <w:szCs w:val="28"/>
        </w:rPr>
        <w:t>；</w:t>
      </w:r>
    </w:p>
    <w:p w14:paraId="0D37D4D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职    务：</w:t>
      </w:r>
      <w:r>
        <w:rPr>
          <w:rFonts w:hint="eastAsia" w:ascii="仿宋" w:hAnsi="仿宋" w:eastAsia="仿宋" w:cs="仿宋"/>
          <w:sz w:val="28"/>
          <w:szCs w:val="28"/>
          <w:u w:val="single"/>
        </w:rPr>
        <w:t>【】</w:t>
      </w:r>
      <w:r>
        <w:rPr>
          <w:rFonts w:hint="eastAsia" w:ascii="仿宋" w:hAnsi="仿宋" w:eastAsia="仿宋" w:cs="仿宋"/>
          <w:sz w:val="28"/>
          <w:szCs w:val="28"/>
        </w:rPr>
        <w:t>；</w:t>
      </w:r>
    </w:p>
    <w:p w14:paraId="432C9EA3">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hint="eastAsia" w:ascii="仿宋" w:hAnsi="仿宋" w:eastAsia="仿宋" w:cs="仿宋"/>
          <w:sz w:val="28"/>
          <w:szCs w:val="28"/>
          <w:u w:val="single"/>
        </w:rPr>
        <w:t>【】</w:t>
      </w:r>
      <w:r>
        <w:rPr>
          <w:rFonts w:hint="eastAsia" w:ascii="仿宋" w:hAnsi="仿宋" w:eastAsia="仿宋" w:cs="仿宋"/>
          <w:sz w:val="28"/>
          <w:szCs w:val="28"/>
        </w:rPr>
        <w:t>；</w:t>
      </w:r>
    </w:p>
    <w:p w14:paraId="3C4832B3">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电子信箱：</w:t>
      </w:r>
      <w:r>
        <w:rPr>
          <w:rFonts w:hint="eastAsia" w:ascii="仿宋" w:hAnsi="仿宋" w:eastAsia="仿宋" w:cs="仿宋"/>
          <w:sz w:val="28"/>
          <w:szCs w:val="28"/>
          <w:u w:val="single"/>
        </w:rPr>
        <w:t>【】</w:t>
      </w:r>
      <w:r>
        <w:rPr>
          <w:rFonts w:hint="eastAsia" w:ascii="仿宋" w:hAnsi="仿宋" w:eastAsia="仿宋" w:cs="仿宋"/>
          <w:sz w:val="28"/>
          <w:szCs w:val="28"/>
        </w:rPr>
        <w:t>；</w:t>
      </w:r>
    </w:p>
    <w:p w14:paraId="6F6C93CC">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通信地址：</w:t>
      </w:r>
      <w:r>
        <w:rPr>
          <w:rFonts w:hint="eastAsia" w:ascii="仿宋" w:hAnsi="仿宋" w:eastAsia="仿宋" w:cs="仿宋"/>
          <w:sz w:val="28"/>
          <w:szCs w:val="28"/>
          <w:u w:val="single"/>
        </w:rPr>
        <w:t>【】</w:t>
      </w:r>
      <w:r>
        <w:rPr>
          <w:rFonts w:hint="eastAsia" w:ascii="仿宋" w:hAnsi="仿宋" w:eastAsia="仿宋" w:cs="仿宋"/>
          <w:sz w:val="28"/>
          <w:szCs w:val="28"/>
        </w:rPr>
        <w:t>。</w:t>
      </w:r>
    </w:p>
    <w:p w14:paraId="3BC84D8F">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发包人对发包人代表的授权范围如下：</w:t>
      </w:r>
      <w:r>
        <w:rPr>
          <w:rFonts w:hint="eastAsia" w:ascii="仿宋" w:hAnsi="仿宋" w:eastAsia="仿宋" w:cs="仿宋"/>
          <w:kern w:val="0"/>
          <w:sz w:val="28"/>
          <w:szCs w:val="28"/>
          <w:u w:val="single"/>
        </w:rPr>
        <w:t>按通用合同条款执行</w:t>
      </w:r>
      <w:r>
        <w:rPr>
          <w:rFonts w:hint="eastAsia" w:ascii="仿宋" w:hAnsi="仿宋" w:eastAsia="仿宋" w:cs="仿宋"/>
          <w:sz w:val="28"/>
          <w:szCs w:val="28"/>
        </w:rPr>
        <w:t>。</w:t>
      </w:r>
    </w:p>
    <w:p w14:paraId="434F0E84">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2.4施工现场、施工条件和基础资料的提供</w:t>
      </w:r>
    </w:p>
    <w:p w14:paraId="04BAFE46">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2.4.1</w:t>
      </w:r>
      <w:r>
        <w:rPr>
          <w:rFonts w:hint="eastAsia" w:ascii="仿宋" w:hAnsi="仿宋" w:eastAsia="仿宋" w:cs="仿宋"/>
          <w:sz w:val="28"/>
          <w:szCs w:val="28"/>
        </w:rPr>
        <w:t>提供施工现场</w:t>
      </w:r>
    </w:p>
    <w:p w14:paraId="1054F202">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关于发包人移交施工现场的期限要求：</w:t>
      </w:r>
      <w:r>
        <w:rPr>
          <w:rFonts w:hint="eastAsia" w:ascii="仿宋" w:hAnsi="仿宋" w:eastAsia="仿宋" w:cs="仿宋"/>
          <w:sz w:val="28"/>
          <w:szCs w:val="28"/>
          <w:u w:val="single"/>
        </w:rPr>
        <w:t>开工前7天内</w:t>
      </w:r>
      <w:r>
        <w:rPr>
          <w:rFonts w:hint="eastAsia" w:ascii="仿宋" w:hAnsi="仿宋" w:eastAsia="仿宋" w:cs="仿宋"/>
          <w:sz w:val="28"/>
          <w:szCs w:val="28"/>
        </w:rPr>
        <w:t>。</w:t>
      </w:r>
    </w:p>
    <w:p w14:paraId="7B9E885C">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2.4.2</w:t>
      </w:r>
      <w:r>
        <w:rPr>
          <w:rFonts w:hint="eastAsia" w:ascii="仿宋" w:hAnsi="仿宋" w:eastAsia="仿宋" w:cs="仿宋"/>
          <w:sz w:val="28"/>
          <w:szCs w:val="28"/>
        </w:rPr>
        <w:t>提供施工条件</w:t>
      </w:r>
    </w:p>
    <w:p w14:paraId="1C58F338">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关于发包人应负责提供施工所需要的条件，包括：</w:t>
      </w:r>
      <w:r>
        <w:rPr>
          <w:rFonts w:hint="eastAsia" w:ascii="仿宋" w:hAnsi="仿宋" w:eastAsia="仿宋" w:cs="仿宋"/>
          <w:sz w:val="28"/>
          <w:szCs w:val="28"/>
          <w:u w:val="single"/>
        </w:rPr>
        <w:t>/</w:t>
      </w:r>
      <w:r>
        <w:rPr>
          <w:rFonts w:hint="eastAsia" w:ascii="仿宋" w:hAnsi="仿宋" w:eastAsia="仿宋" w:cs="仿宋"/>
          <w:sz w:val="28"/>
          <w:szCs w:val="28"/>
        </w:rPr>
        <w:t>。</w:t>
      </w:r>
    </w:p>
    <w:p w14:paraId="30A4CC1B">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2.5</w:t>
      </w:r>
      <w:r>
        <w:rPr>
          <w:rFonts w:hint="eastAsia" w:ascii="仿宋" w:hAnsi="仿宋" w:eastAsia="仿宋" w:cs="仿宋"/>
          <w:sz w:val="28"/>
          <w:szCs w:val="28"/>
        </w:rPr>
        <w:t>资金来源证明及支付担保</w:t>
      </w:r>
    </w:p>
    <w:p w14:paraId="27AAF0A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发包人提供资金来源证明的期限要求：</w:t>
      </w:r>
      <w:r>
        <w:rPr>
          <w:rFonts w:hint="eastAsia" w:ascii="仿宋" w:hAnsi="仿宋" w:eastAsia="仿宋" w:cs="仿宋"/>
          <w:sz w:val="28"/>
          <w:szCs w:val="28"/>
          <w:u w:val="single"/>
        </w:rPr>
        <w:t>/</w:t>
      </w:r>
      <w:r>
        <w:rPr>
          <w:rFonts w:hint="eastAsia" w:ascii="仿宋" w:hAnsi="仿宋" w:eastAsia="仿宋" w:cs="仿宋"/>
          <w:sz w:val="28"/>
          <w:szCs w:val="28"/>
        </w:rPr>
        <w:t>。</w:t>
      </w:r>
    </w:p>
    <w:p w14:paraId="6E352959">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发包人是否提供支付担保：</w:t>
      </w:r>
      <w:r>
        <w:rPr>
          <w:rFonts w:hint="eastAsia" w:ascii="仿宋" w:hAnsi="仿宋" w:eastAsia="仿宋" w:cs="仿宋"/>
          <w:sz w:val="28"/>
          <w:szCs w:val="28"/>
          <w:u w:val="single"/>
        </w:rPr>
        <w:t>/</w:t>
      </w:r>
      <w:r>
        <w:rPr>
          <w:rFonts w:hint="eastAsia" w:ascii="仿宋" w:hAnsi="仿宋" w:eastAsia="仿宋" w:cs="仿宋"/>
          <w:sz w:val="28"/>
          <w:szCs w:val="28"/>
        </w:rPr>
        <w:t>。</w:t>
      </w:r>
    </w:p>
    <w:p w14:paraId="4ACC7E26">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发包人提供支付担保的形式：</w:t>
      </w:r>
      <w:r>
        <w:rPr>
          <w:rFonts w:hint="eastAsia" w:ascii="仿宋" w:hAnsi="仿宋" w:eastAsia="仿宋" w:cs="仿宋"/>
          <w:sz w:val="28"/>
          <w:szCs w:val="28"/>
          <w:u w:val="single"/>
        </w:rPr>
        <w:t>/</w:t>
      </w:r>
      <w:r>
        <w:rPr>
          <w:rFonts w:hint="eastAsia" w:ascii="仿宋" w:hAnsi="仿宋" w:eastAsia="仿宋" w:cs="仿宋"/>
          <w:sz w:val="28"/>
          <w:szCs w:val="28"/>
        </w:rPr>
        <w:t>。</w:t>
      </w:r>
    </w:p>
    <w:p w14:paraId="5FEA6B8B">
      <w:pPr>
        <w:keepNext/>
        <w:keepLines/>
        <w:spacing w:line="360" w:lineRule="exact"/>
        <w:ind w:firstLine="632" w:firstLineChars="225"/>
        <w:outlineLvl w:val="3"/>
        <w:rPr>
          <w:rFonts w:ascii="仿宋" w:hAnsi="仿宋" w:eastAsia="仿宋" w:cs="仿宋"/>
          <w:b/>
          <w:sz w:val="28"/>
          <w:szCs w:val="28"/>
        </w:rPr>
      </w:pPr>
      <w:bookmarkStart w:id="82" w:name="_Toc351203635"/>
      <w:r>
        <w:rPr>
          <w:rFonts w:hint="eastAsia" w:ascii="仿宋" w:hAnsi="仿宋" w:eastAsia="仿宋" w:cs="仿宋"/>
          <w:b/>
          <w:sz w:val="28"/>
          <w:szCs w:val="28"/>
        </w:rPr>
        <w:t>3</w:t>
      </w:r>
      <w:bookmarkStart w:id="83" w:name="_Toc296944497"/>
      <w:bookmarkStart w:id="84" w:name="_Toc297120458"/>
      <w:bookmarkStart w:id="85" w:name="_Toc296347157"/>
      <w:bookmarkStart w:id="86" w:name="_Toc292559363"/>
      <w:bookmarkStart w:id="87" w:name="_Toc296891198"/>
      <w:bookmarkStart w:id="88" w:name="_Toc292559868"/>
      <w:bookmarkStart w:id="89" w:name="_Toc296346659"/>
      <w:bookmarkStart w:id="90" w:name="_Toc296503158"/>
      <w:bookmarkStart w:id="91" w:name="_Toc296890986"/>
      <w:bookmarkStart w:id="92" w:name="_Toc297048344"/>
      <w:r>
        <w:rPr>
          <w:rFonts w:hint="eastAsia" w:ascii="仿宋" w:hAnsi="仿宋" w:eastAsia="仿宋" w:cs="仿宋"/>
          <w:b/>
          <w:sz w:val="28"/>
          <w:szCs w:val="28"/>
        </w:rPr>
        <w:t>.承包人</w:t>
      </w:r>
      <w:bookmarkEnd w:id="82"/>
    </w:p>
    <w:bookmarkEnd w:id="83"/>
    <w:bookmarkEnd w:id="84"/>
    <w:bookmarkEnd w:id="85"/>
    <w:bookmarkEnd w:id="86"/>
    <w:bookmarkEnd w:id="87"/>
    <w:bookmarkEnd w:id="88"/>
    <w:bookmarkEnd w:id="89"/>
    <w:bookmarkEnd w:id="90"/>
    <w:bookmarkEnd w:id="91"/>
    <w:bookmarkEnd w:id="92"/>
    <w:p w14:paraId="3F1980AA">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3.1</w:t>
      </w:r>
      <w:r>
        <w:rPr>
          <w:rFonts w:hint="eastAsia" w:ascii="仿宋" w:hAnsi="仿宋" w:eastAsia="仿宋" w:cs="仿宋"/>
          <w:sz w:val="28"/>
          <w:szCs w:val="28"/>
        </w:rPr>
        <w:t>承包人的一般义务</w:t>
      </w:r>
    </w:p>
    <w:p w14:paraId="12B26584">
      <w:pPr>
        <w:spacing w:line="360" w:lineRule="exact"/>
        <w:ind w:firstLine="560" w:firstLineChars="200"/>
        <w:jc w:val="left"/>
        <w:rPr>
          <w:rFonts w:ascii="仿宋" w:hAnsi="仿宋" w:eastAsia="仿宋" w:cs="仿宋"/>
          <w:sz w:val="28"/>
          <w:szCs w:val="28"/>
        </w:rPr>
      </w:pPr>
      <w:r>
        <w:rPr>
          <w:rFonts w:hint="eastAsia" w:ascii="仿宋" w:hAnsi="仿宋" w:eastAsia="仿宋" w:cs="仿宋"/>
          <w:kern w:val="0"/>
          <w:sz w:val="28"/>
          <w:szCs w:val="28"/>
        </w:rPr>
        <w:t>（9）</w:t>
      </w:r>
      <w:r>
        <w:rPr>
          <w:rFonts w:hint="eastAsia" w:ascii="仿宋" w:hAnsi="仿宋" w:eastAsia="仿宋" w:cs="仿宋"/>
          <w:sz w:val="28"/>
          <w:szCs w:val="28"/>
        </w:rPr>
        <w:t>承包人提交的竣工资料的内容：</w:t>
      </w:r>
      <w:r>
        <w:rPr>
          <w:rFonts w:hint="eastAsia" w:ascii="仿宋" w:hAnsi="仿宋" w:eastAsia="仿宋" w:cs="仿宋"/>
          <w:sz w:val="28"/>
          <w:szCs w:val="28"/>
          <w:u w:val="single"/>
        </w:rPr>
        <w:t>按相关规定执行</w:t>
      </w:r>
      <w:r>
        <w:rPr>
          <w:rFonts w:hint="eastAsia" w:ascii="仿宋" w:hAnsi="仿宋" w:eastAsia="仿宋" w:cs="仿宋"/>
          <w:sz w:val="28"/>
          <w:szCs w:val="28"/>
        </w:rPr>
        <w:t>。</w:t>
      </w:r>
    </w:p>
    <w:p w14:paraId="64BE6A51">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承包人需要提交的竣工资料套数：</w:t>
      </w:r>
      <w:r>
        <w:rPr>
          <w:rFonts w:hint="eastAsia" w:ascii="仿宋" w:hAnsi="仿宋" w:eastAsia="仿宋" w:cs="仿宋"/>
          <w:sz w:val="28"/>
          <w:szCs w:val="28"/>
          <w:u w:val="single"/>
        </w:rPr>
        <w:t>肆套</w:t>
      </w:r>
      <w:r>
        <w:rPr>
          <w:rFonts w:hint="eastAsia" w:ascii="仿宋" w:hAnsi="仿宋" w:eastAsia="仿宋" w:cs="仿宋"/>
          <w:sz w:val="28"/>
          <w:szCs w:val="28"/>
        </w:rPr>
        <w:t>。</w:t>
      </w:r>
    </w:p>
    <w:p w14:paraId="175725EF">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承包人提交的竣工资料的费用承担：</w:t>
      </w:r>
      <w:r>
        <w:rPr>
          <w:rFonts w:hint="eastAsia" w:ascii="仿宋" w:hAnsi="仿宋" w:eastAsia="仿宋" w:cs="仿宋"/>
          <w:kern w:val="0"/>
          <w:sz w:val="28"/>
          <w:szCs w:val="28"/>
          <w:u w:val="single"/>
        </w:rPr>
        <w:t>承包人承担</w:t>
      </w:r>
      <w:r>
        <w:rPr>
          <w:rFonts w:hint="eastAsia" w:ascii="仿宋" w:hAnsi="仿宋" w:eastAsia="仿宋" w:cs="仿宋"/>
          <w:kern w:val="0"/>
          <w:sz w:val="28"/>
          <w:szCs w:val="28"/>
        </w:rPr>
        <w:t>。</w:t>
      </w:r>
    </w:p>
    <w:p w14:paraId="1B9DB52D">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承包人提交的竣工资料移交时间：</w:t>
      </w:r>
      <w:r>
        <w:rPr>
          <w:rFonts w:hint="eastAsia" w:ascii="仿宋" w:hAnsi="仿宋" w:eastAsia="仿宋" w:cs="仿宋"/>
          <w:kern w:val="0"/>
          <w:sz w:val="28"/>
          <w:szCs w:val="28"/>
          <w:u w:val="single"/>
        </w:rPr>
        <w:t>按通用合同条款执行</w:t>
      </w:r>
      <w:r>
        <w:rPr>
          <w:rFonts w:hint="eastAsia" w:ascii="仿宋" w:hAnsi="仿宋" w:eastAsia="仿宋" w:cs="仿宋"/>
          <w:sz w:val="28"/>
          <w:szCs w:val="28"/>
        </w:rPr>
        <w:t>。</w:t>
      </w:r>
    </w:p>
    <w:p w14:paraId="11F75153">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承包人提交的竣工资料形式要求：</w:t>
      </w:r>
      <w:r>
        <w:rPr>
          <w:rFonts w:hint="eastAsia" w:ascii="仿宋" w:hAnsi="仿宋" w:eastAsia="仿宋" w:cs="仿宋"/>
          <w:kern w:val="0"/>
          <w:sz w:val="28"/>
          <w:szCs w:val="28"/>
          <w:u w:val="single"/>
        </w:rPr>
        <w:t>书面和电子文档</w:t>
      </w:r>
      <w:r>
        <w:rPr>
          <w:rFonts w:hint="eastAsia" w:ascii="仿宋" w:hAnsi="仿宋" w:eastAsia="仿宋" w:cs="仿宋"/>
          <w:sz w:val="28"/>
          <w:szCs w:val="28"/>
        </w:rPr>
        <w:t>。</w:t>
      </w:r>
    </w:p>
    <w:p w14:paraId="508AD886">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（10）</w:t>
      </w:r>
      <w:r>
        <w:rPr>
          <w:rFonts w:hint="eastAsia" w:ascii="仿宋" w:hAnsi="仿宋" w:eastAsia="仿宋" w:cs="仿宋"/>
          <w:kern w:val="0"/>
          <w:sz w:val="28"/>
          <w:szCs w:val="28"/>
        </w:rPr>
        <w:t>承包人应履行的其他义务</w:t>
      </w:r>
    </w:p>
    <w:p w14:paraId="4BE4D3C3">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1.项目经理（承包人中标通知书所示建造师，下同）、主要工程技术管理人员，必须参加由负责工程监理的监理人或发包人组织的工程例会。</w:t>
      </w:r>
    </w:p>
    <w:p w14:paraId="4D9C8BA3">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2.承包人必须做好与其它施工单位的配合工作，服从发包人的统一安排，并有责任对其他施工单位已完工程及产品进行保护，相关费用</w:t>
      </w:r>
      <w:r>
        <w:rPr>
          <w:rFonts w:hint="eastAsia" w:ascii="仿宋" w:hAnsi="仿宋" w:eastAsia="仿宋" w:cs="仿宋"/>
          <w:kern w:val="0"/>
          <w:sz w:val="28"/>
          <w:szCs w:val="28"/>
          <w:u w:val="single"/>
        </w:rPr>
        <w:t>协商签证</w:t>
      </w:r>
      <w:r>
        <w:rPr>
          <w:rFonts w:hint="eastAsia" w:ascii="仿宋" w:hAnsi="仿宋" w:eastAsia="仿宋" w:cs="仿宋"/>
          <w:kern w:val="0"/>
          <w:sz w:val="28"/>
          <w:szCs w:val="28"/>
        </w:rPr>
        <w:t>。</w:t>
      </w:r>
    </w:p>
    <w:p w14:paraId="0DFA916B">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3.施工过程中的用水用电，由承包人装表计量按月自行向发包人缴纳，如不缴纳或延期缴纳，承包人应按水电费结算金额的十倍向发包人支付违约金。该款项发包人有权直接从工程款中扣除。</w:t>
      </w:r>
    </w:p>
    <w:p w14:paraId="17EF9CD7">
      <w:pPr>
        <w:spacing w:line="360" w:lineRule="exact"/>
        <w:ind w:firstLine="560" w:firstLineChars="200"/>
        <w:rPr>
          <w:rFonts w:ascii="仿宋" w:hAnsi="仿宋" w:eastAsia="仿宋" w:cs="仿宋"/>
          <w:sz w:val="28"/>
          <w:szCs w:val="28"/>
        </w:rPr>
      </w:pPr>
      <w:r>
        <w:rPr>
          <w:rFonts w:hint="eastAsia" w:ascii="仿宋" w:hAnsi="仿宋" w:eastAsia="仿宋" w:cs="仿宋"/>
          <w:kern w:val="0"/>
          <w:sz w:val="28"/>
          <w:szCs w:val="28"/>
        </w:rPr>
        <w:t>4.承包人应积极配合发包人办理后续报建手续，承包人应在合同签订后7日内提供相关资料并安排人员办理后续报建手续，否则，每延迟1天，发包人有权要求承包人支付1000元违约金。</w:t>
      </w:r>
    </w:p>
    <w:p w14:paraId="2D35268E">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3.2项目经理</w:t>
      </w:r>
    </w:p>
    <w:p w14:paraId="654BBD63">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3.2.1</w:t>
      </w:r>
      <w:r>
        <w:rPr>
          <w:rFonts w:hint="eastAsia" w:ascii="仿宋" w:hAnsi="仿宋" w:eastAsia="仿宋" w:cs="仿宋"/>
          <w:sz w:val="28"/>
          <w:szCs w:val="28"/>
        </w:rPr>
        <w:t>项目经理：</w:t>
      </w:r>
    </w:p>
    <w:p w14:paraId="1A6DFC3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姓    名：</w:t>
      </w:r>
      <w:r>
        <w:rPr>
          <w:rFonts w:hint="eastAsia" w:ascii="仿宋" w:hAnsi="仿宋" w:eastAsia="仿宋" w:cs="仿宋"/>
          <w:sz w:val="28"/>
          <w:szCs w:val="28"/>
          <w:u w:val="single"/>
        </w:rPr>
        <w:t>【】</w:t>
      </w:r>
      <w:r>
        <w:rPr>
          <w:rFonts w:hint="eastAsia" w:ascii="仿宋" w:hAnsi="仿宋" w:eastAsia="仿宋" w:cs="仿宋"/>
          <w:sz w:val="28"/>
          <w:szCs w:val="28"/>
        </w:rPr>
        <w:t>；</w:t>
      </w:r>
    </w:p>
    <w:p w14:paraId="67532349">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身份证号：</w:t>
      </w:r>
      <w:r>
        <w:rPr>
          <w:rFonts w:hint="eastAsia" w:ascii="仿宋" w:hAnsi="仿宋" w:eastAsia="仿宋" w:cs="仿宋"/>
          <w:sz w:val="28"/>
          <w:szCs w:val="28"/>
          <w:u w:val="single"/>
        </w:rPr>
        <w:t>【】</w:t>
      </w:r>
      <w:r>
        <w:rPr>
          <w:rFonts w:hint="eastAsia" w:ascii="仿宋" w:hAnsi="仿宋" w:eastAsia="仿宋" w:cs="仿宋"/>
          <w:sz w:val="28"/>
          <w:szCs w:val="28"/>
        </w:rPr>
        <w:t>；</w:t>
      </w:r>
    </w:p>
    <w:p w14:paraId="5E64BCE9">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建造师执业资格等级：</w:t>
      </w:r>
      <w:r>
        <w:rPr>
          <w:rFonts w:hint="eastAsia" w:ascii="仿宋" w:hAnsi="仿宋" w:eastAsia="仿宋" w:cs="仿宋"/>
          <w:sz w:val="28"/>
          <w:szCs w:val="28"/>
          <w:u w:val="single"/>
        </w:rPr>
        <w:t>【】</w:t>
      </w:r>
      <w:r>
        <w:rPr>
          <w:rFonts w:hint="eastAsia" w:ascii="仿宋" w:hAnsi="仿宋" w:eastAsia="仿宋" w:cs="仿宋"/>
          <w:sz w:val="28"/>
          <w:szCs w:val="28"/>
        </w:rPr>
        <w:t>；</w:t>
      </w:r>
    </w:p>
    <w:p w14:paraId="12EE44ED">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建造师注册证书号：</w:t>
      </w:r>
      <w:r>
        <w:rPr>
          <w:rFonts w:hint="eastAsia" w:ascii="仿宋" w:hAnsi="仿宋" w:eastAsia="仿宋" w:cs="仿宋"/>
          <w:sz w:val="28"/>
          <w:szCs w:val="28"/>
          <w:u w:val="single"/>
        </w:rPr>
        <w:t>【】</w:t>
      </w:r>
      <w:r>
        <w:rPr>
          <w:rFonts w:hint="eastAsia" w:ascii="仿宋" w:hAnsi="仿宋" w:eastAsia="仿宋" w:cs="仿宋"/>
          <w:sz w:val="28"/>
          <w:szCs w:val="28"/>
        </w:rPr>
        <w:t>；</w:t>
      </w:r>
    </w:p>
    <w:p w14:paraId="6A1A017B">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建造师执业印章号：</w:t>
      </w:r>
      <w:r>
        <w:rPr>
          <w:rFonts w:hint="eastAsia" w:ascii="仿宋" w:hAnsi="仿宋" w:eastAsia="仿宋" w:cs="仿宋"/>
          <w:sz w:val="28"/>
          <w:szCs w:val="28"/>
          <w:u w:val="single"/>
        </w:rPr>
        <w:t>【】</w:t>
      </w:r>
      <w:r>
        <w:rPr>
          <w:rFonts w:hint="eastAsia" w:ascii="仿宋" w:hAnsi="仿宋" w:eastAsia="仿宋" w:cs="仿宋"/>
          <w:sz w:val="28"/>
          <w:szCs w:val="28"/>
        </w:rPr>
        <w:t>；</w:t>
      </w:r>
    </w:p>
    <w:p w14:paraId="2B7A3EE3">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安全生产考核合格证书号：</w:t>
      </w:r>
      <w:r>
        <w:rPr>
          <w:rFonts w:hint="eastAsia" w:ascii="仿宋" w:hAnsi="仿宋" w:eastAsia="仿宋" w:cs="仿宋"/>
          <w:sz w:val="28"/>
          <w:szCs w:val="28"/>
          <w:u w:val="single"/>
        </w:rPr>
        <w:t>【】</w:t>
      </w:r>
      <w:r>
        <w:rPr>
          <w:rFonts w:hint="eastAsia" w:ascii="仿宋" w:hAnsi="仿宋" w:eastAsia="仿宋" w:cs="仿宋"/>
          <w:sz w:val="28"/>
          <w:szCs w:val="28"/>
        </w:rPr>
        <w:t>；</w:t>
      </w:r>
    </w:p>
    <w:p w14:paraId="0655E83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hint="eastAsia" w:ascii="仿宋" w:hAnsi="仿宋" w:eastAsia="仿宋" w:cs="仿宋"/>
          <w:sz w:val="28"/>
          <w:szCs w:val="28"/>
          <w:u w:val="single"/>
        </w:rPr>
        <w:t>【】</w:t>
      </w:r>
      <w:r>
        <w:rPr>
          <w:rFonts w:hint="eastAsia" w:ascii="仿宋" w:hAnsi="仿宋" w:eastAsia="仿宋" w:cs="仿宋"/>
          <w:sz w:val="28"/>
          <w:szCs w:val="28"/>
        </w:rPr>
        <w:t>；</w:t>
      </w:r>
    </w:p>
    <w:p w14:paraId="249A38F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电子邮箱：</w:t>
      </w:r>
      <w:r>
        <w:rPr>
          <w:rFonts w:hint="eastAsia" w:ascii="仿宋" w:hAnsi="仿宋" w:eastAsia="仿宋" w:cs="仿宋"/>
          <w:sz w:val="28"/>
          <w:szCs w:val="28"/>
          <w:u w:val="single"/>
        </w:rPr>
        <w:t>【】</w:t>
      </w:r>
      <w:r>
        <w:rPr>
          <w:rFonts w:hint="eastAsia" w:ascii="仿宋" w:hAnsi="仿宋" w:eastAsia="仿宋" w:cs="仿宋"/>
          <w:sz w:val="28"/>
          <w:szCs w:val="28"/>
        </w:rPr>
        <w:t>；</w:t>
      </w:r>
    </w:p>
    <w:p w14:paraId="29F3EC7B">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通信地址：</w:t>
      </w:r>
      <w:r>
        <w:rPr>
          <w:rFonts w:hint="eastAsia" w:ascii="仿宋" w:hAnsi="仿宋" w:eastAsia="仿宋" w:cs="仿宋"/>
          <w:sz w:val="28"/>
          <w:szCs w:val="28"/>
          <w:u w:val="single"/>
        </w:rPr>
        <w:t>【】</w:t>
      </w:r>
      <w:r>
        <w:rPr>
          <w:rFonts w:hint="eastAsia" w:ascii="仿宋" w:hAnsi="仿宋" w:eastAsia="仿宋" w:cs="仿宋"/>
          <w:sz w:val="28"/>
          <w:szCs w:val="28"/>
        </w:rPr>
        <w:t>；</w:t>
      </w:r>
    </w:p>
    <w:p w14:paraId="6F6C8FA0">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承包人对项目经理的授权范围如下：</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20750FBC">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关于项目经理每月在施工现场的时间要求：</w:t>
      </w:r>
      <w:r>
        <w:rPr>
          <w:rFonts w:hint="eastAsia" w:ascii="仿宋" w:hAnsi="仿宋" w:eastAsia="仿宋" w:cs="仿宋"/>
          <w:sz w:val="28"/>
          <w:szCs w:val="28"/>
          <w:u w:val="single"/>
        </w:rPr>
        <w:t>不小于22天</w:t>
      </w:r>
      <w:r>
        <w:rPr>
          <w:rFonts w:hint="eastAsia" w:ascii="仿宋" w:hAnsi="仿宋" w:eastAsia="仿宋" w:cs="仿宋"/>
          <w:sz w:val="28"/>
          <w:szCs w:val="28"/>
        </w:rPr>
        <w:t>。</w:t>
      </w:r>
    </w:p>
    <w:p w14:paraId="6F939EBD">
      <w:pPr>
        <w:spacing w:line="360" w:lineRule="exact"/>
        <w:ind w:firstLine="560" w:firstLineChars="200"/>
        <w:rPr>
          <w:rFonts w:ascii="仿宋" w:hAnsi="仿宋" w:eastAsia="仿宋" w:cs="仿宋"/>
          <w:sz w:val="28"/>
          <w:szCs w:val="28"/>
          <w:u w:val="single"/>
        </w:rPr>
      </w:pPr>
      <w:r>
        <w:rPr>
          <w:rFonts w:hint="eastAsia" w:ascii="仿宋" w:hAnsi="仿宋" w:eastAsia="仿宋" w:cs="仿宋"/>
          <w:kern w:val="0"/>
          <w:sz w:val="28"/>
          <w:szCs w:val="28"/>
        </w:rPr>
        <w:t>承包人未提交劳动合同，以及没有为项目经理缴纳社会保险证明的违约责任：</w:t>
      </w:r>
      <w:r>
        <w:rPr>
          <w:rFonts w:hint="eastAsia" w:ascii="仿宋" w:hAnsi="仿宋" w:eastAsia="仿宋" w:cs="仿宋"/>
          <w:sz w:val="28"/>
          <w:szCs w:val="28"/>
          <w:u w:val="single"/>
        </w:rPr>
        <w:t>承包人不提交上述文件的，项目经理、技术负责人无权履行职责，发包人有权要求承包人更换项目经理、技术负责人，由此增加的费用和延误的工期由承包人承担。此外，承包人还应向发包人交纳违约金10万元／人</w:t>
      </w:r>
      <w:r>
        <w:rPr>
          <w:rFonts w:hint="eastAsia" w:ascii="仿宋" w:hAnsi="仿宋" w:eastAsia="仿宋" w:cs="仿宋"/>
          <w:sz w:val="28"/>
          <w:szCs w:val="28"/>
        </w:rPr>
        <w:t>。</w:t>
      </w:r>
    </w:p>
    <w:p w14:paraId="134C8A47">
      <w:pPr>
        <w:spacing w:line="360" w:lineRule="exact"/>
        <w:ind w:firstLine="560" w:firstLineChars="200"/>
        <w:rPr>
          <w:rFonts w:ascii="仿宋" w:hAnsi="仿宋" w:eastAsia="仿宋" w:cs="仿宋"/>
          <w:sz w:val="28"/>
          <w:szCs w:val="28"/>
        </w:rPr>
      </w:pPr>
      <w:r>
        <w:rPr>
          <w:rFonts w:hint="eastAsia" w:ascii="仿宋" w:hAnsi="仿宋" w:eastAsia="仿宋" w:cs="仿宋"/>
          <w:kern w:val="0"/>
          <w:sz w:val="28"/>
          <w:szCs w:val="28"/>
        </w:rPr>
        <w:t>项目经理未经批准，擅自离开施工现场的违约责任：</w:t>
      </w:r>
      <w:r>
        <w:rPr>
          <w:rFonts w:hint="eastAsia" w:ascii="仿宋" w:hAnsi="仿宋" w:eastAsia="仿宋" w:cs="仿宋"/>
          <w:sz w:val="28"/>
          <w:szCs w:val="28"/>
          <w:u w:val="single"/>
        </w:rPr>
        <w:t>缺勤一天支付违约金2000元</w:t>
      </w:r>
      <w:r>
        <w:rPr>
          <w:rFonts w:hint="eastAsia" w:ascii="仿宋" w:hAnsi="仿宋" w:eastAsia="仿宋" w:cs="仿宋"/>
          <w:sz w:val="28"/>
          <w:szCs w:val="28"/>
        </w:rPr>
        <w:t>。</w:t>
      </w:r>
    </w:p>
    <w:p w14:paraId="2EA6CF5F">
      <w:pPr>
        <w:spacing w:line="360" w:lineRule="exact"/>
        <w:ind w:firstLine="562" w:firstLineChars="200"/>
        <w:rPr>
          <w:rFonts w:ascii="仿宋" w:hAnsi="仿宋" w:eastAsia="仿宋" w:cs="仿宋"/>
          <w:sz w:val="28"/>
          <w:szCs w:val="28"/>
          <w:u w:val="single"/>
        </w:rPr>
      </w:pPr>
      <w:r>
        <w:rPr>
          <w:rFonts w:hint="eastAsia" w:ascii="仿宋" w:hAnsi="仿宋" w:eastAsia="仿宋" w:cs="仿宋"/>
          <w:b/>
          <w:sz w:val="28"/>
          <w:szCs w:val="28"/>
        </w:rPr>
        <w:t>3.2.3</w:t>
      </w:r>
      <w:r>
        <w:rPr>
          <w:rFonts w:hint="eastAsia" w:ascii="仿宋" w:hAnsi="仿宋" w:eastAsia="仿宋" w:cs="仿宋"/>
          <w:sz w:val="28"/>
          <w:szCs w:val="28"/>
        </w:rPr>
        <w:t>承包人擅自更换项目经理的违约责任：</w:t>
      </w:r>
      <w:r>
        <w:rPr>
          <w:rFonts w:hint="eastAsia" w:ascii="仿宋" w:hAnsi="仿宋" w:eastAsia="仿宋" w:cs="仿宋"/>
          <w:sz w:val="28"/>
          <w:szCs w:val="28"/>
          <w:u w:val="single"/>
        </w:rPr>
        <w:t>承包人在投标书中承诺的项目经理必须是本单位的人员，不得更换。在进场施工时，项目经理与投标文件所报的项目经理不一致时，发包人有权拒绝接受与投标文件所报的项目经理不一致的人员履职，并书面通知承包人委派招标文件承诺的项目经理到场履职，承包人仍然不按照投标承诺和合同约定委派项目经理到场履职的，发包人有权解除合同，由承包人按工程总价款的10%承担违约责任，并以资质挂靠行为上报建设行政主管部门进行处罚。如确有特殊情况需更换的，需经发包人同意，并上报市监管部门核备，并按每更换一名项目经理，承包人向发包人支付10万元的标准支付违约金，发包人有权直接从未付工程款中直接扣除</w:t>
      </w:r>
      <w:r>
        <w:rPr>
          <w:rFonts w:hint="eastAsia" w:ascii="仿宋" w:hAnsi="仿宋" w:eastAsia="仿宋" w:cs="仿宋"/>
          <w:sz w:val="28"/>
          <w:szCs w:val="28"/>
        </w:rPr>
        <w:t>。</w:t>
      </w:r>
    </w:p>
    <w:p w14:paraId="006856FD">
      <w:pPr>
        <w:spacing w:line="360" w:lineRule="exact"/>
        <w:ind w:firstLine="562" w:firstLineChars="200"/>
        <w:rPr>
          <w:rFonts w:ascii="仿宋" w:hAnsi="仿宋" w:eastAsia="仿宋" w:cs="仿宋"/>
          <w:sz w:val="28"/>
          <w:szCs w:val="28"/>
          <w:u w:val="single"/>
        </w:rPr>
      </w:pPr>
      <w:r>
        <w:rPr>
          <w:rFonts w:hint="eastAsia" w:ascii="仿宋" w:hAnsi="仿宋" w:eastAsia="仿宋" w:cs="仿宋"/>
          <w:b/>
          <w:sz w:val="28"/>
          <w:szCs w:val="28"/>
        </w:rPr>
        <w:t>3.2.4</w:t>
      </w:r>
      <w:r>
        <w:rPr>
          <w:rFonts w:hint="eastAsia" w:ascii="仿宋" w:hAnsi="仿宋" w:eastAsia="仿宋" w:cs="仿宋"/>
          <w:sz w:val="28"/>
          <w:szCs w:val="28"/>
        </w:rPr>
        <w:t>承包人无正当理由拒绝更换项目经理的违约责任：</w:t>
      </w:r>
      <w:r>
        <w:rPr>
          <w:rFonts w:hint="eastAsia" w:ascii="仿宋" w:hAnsi="仿宋" w:eastAsia="仿宋" w:cs="仿宋"/>
          <w:sz w:val="28"/>
          <w:szCs w:val="28"/>
          <w:u w:val="single"/>
        </w:rPr>
        <w:t>发包人对不称职的项目经理有权要求承包人更换。承包人自接到更换通知之日起2天内另行委派具有法定资格、适合施工要求的项目经理到位，否则，每延迟一天，承包人按项目经理2000元/人/天向发包人支付违约金；延迟时间超过30日还未委派合格的项目经理到位的，发包人有权解除本合同，并由承包人按工程合同价格的10%承担违约责任。承包人无正当理由停止施工或撤离现场的，承包人不得向发包人主张未付工程款的取得权利，且发包人有权向承包人索赔。若因发包人原因（资金支付，各部门关系协调等）造成承包人停止施工，给承包人造成经济损失，由发包人会同市监管部门核实签证认可</w:t>
      </w:r>
      <w:r>
        <w:rPr>
          <w:rFonts w:hint="eastAsia" w:ascii="仿宋" w:hAnsi="仿宋" w:eastAsia="仿宋" w:cs="仿宋"/>
          <w:sz w:val="28"/>
          <w:szCs w:val="28"/>
        </w:rPr>
        <w:t>。</w:t>
      </w:r>
    </w:p>
    <w:p w14:paraId="264DFF6C">
      <w:pPr>
        <w:spacing w:line="360" w:lineRule="exact"/>
        <w:ind w:firstLine="562" w:firstLineChars="200"/>
        <w:rPr>
          <w:rFonts w:ascii="仿宋" w:hAnsi="仿宋" w:eastAsia="仿宋" w:cs="仿宋"/>
          <w:b/>
          <w:bCs/>
          <w:sz w:val="28"/>
          <w:szCs w:val="28"/>
        </w:rPr>
      </w:pPr>
      <w:bookmarkStart w:id="93" w:name="_Toc292559378"/>
      <w:bookmarkStart w:id="94" w:name="_Toc267251428"/>
      <w:bookmarkStart w:id="95" w:name="_Toc297048359"/>
      <w:bookmarkStart w:id="96" w:name="_Toc296891213"/>
      <w:bookmarkStart w:id="97" w:name="_Toc292559883"/>
      <w:bookmarkStart w:id="98" w:name="_Toc296347172"/>
      <w:bookmarkStart w:id="99" w:name="_Toc296944512"/>
      <w:bookmarkStart w:id="100" w:name="_Toc267251427"/>
      <w:bookmarkStart w:id="101" w:name="_Toc297120473"/>
      <w:bookmarkStart w:id="102" w:name="_Toc296891001"/>
      <w:bookmarkStart w:id="103" w:name="_Toc296503173"/>
      <w:bookmarkStart w:id="104" w:name="_Toc296346674"/>
      <w:bookmarkStart w:id="105" w:name="_Toc351203642"/>
      <w:r>
        <w:rPr>
          <w:rFonts w:hint="eastAsia" w:ascii="仿宋" w:hAnsi="仿宋" w:eastAsia="仿宋" w:cs="仿宋"/>
          <w:b/>
          <w:bCs/>
          <w:sz w:val="28"/>
          <w:szCs w:val="28"/>
        </w:rPr>
        <w:t>3.3承包人人员</w:t>
      </w:r>
    </w:p>
    <w:p w14:paraId="098E071C">
      <w:pPr>
        <w:spacing w:line="360" w:lineRule="exact"/>
        <w:ind w:firstLine="562" w:firstLineChars="200"/>
        <w:rPr>
          <w:rFonts w:ascii="仿宋" w:hAnsi="仿宋" w:eastAsia="仿宋" w:cs="仿宋"/>
          <w:sz w:val="28"/>
          <w:szCs w:val="28"/>
          <w:u w:val="single"/>
        </w:rPr>
      </w:pPr>
      <w:r>
        <w:rPr>
          <w:rFonts w:hint="eastAsia" w:ascii="仿宋" w:hAnsi="仿宋" w:eastAsia="仿宋" w:cs="仿宋"/>
          <w:b/>
          <w:sz w:val="28"/>
          <w:szCs w:val="28"/>
        </w:rPr>
        <w:t>3.3.1</w:t>
      </w:r>
      <w:r>
        <w:rPr>
          <w:rFonts w:hint="eastAsia" w:ascii="仿宋" w:hAnsi="仿宋" w:eastAsia="仿宋" w:cs="仿宋"/>
          <w:sz w:val="28"/>
          <w:szCs w:val="28"/>
        </w:rPr>
        <w:t>承包人提交项目管理机构及施工现场管理人员安排报告的期限：</w:t>
      </w:r>
      <w:r>
        <w:rPr>
          <w:rFonts w:hint="eastAsia" w:ascii="仿宋" w:hAnsi="仿宋" w:eastAsia="仿宋" w:cs="仿宋"/>
          <w:sz w:val="28"/>
          <w:szCs w:val="28"/>
          <w:u w:val="single"/>
        </w:rPr>
        <w:t>承包人在合同签订7日内安排管理人员到位，并编写在施工场地的管理机构以及人员安排的报告，其内容应包括管理机构的设置、各主要岗位的技术和管理人员名单及其资格，以及各工种技术工人的安排状况，经监理人认可后及时报发包人备案。承包人应向监理人提交施工场地人员变动情况的报告。承包人未在约定时间内到位的，应按项目经理、技术负责人每天2000元、其他主要工程管理人员每人每天1000元标准支付给发包人违约金</w:t>
      </w:r>
      <w:r>
        <w:rPr>
          <w:rFonts w:hint="eastAsia" w:ascii="仿宋" w:hAnsi="仿宋" w:eastAsia="仿宋" w:cs="仿宋"/>
          <w:sz w:val="28"/>
          <w:szCs w:val="28"/>
        </w:rPr>
        <w:t>。</w:t>
      </w:r>
    </w:p>
    <w:p w14:paraId="55B382B4">
      <w:pPr>
        <w:spacing w:line="360" w:lineRule="exact"/>
        <w:ind w:firstLine="562" w:firstLineChars="200"/>
        <w:rPr>
          <w:rFonts w:ascii="仿宋" w:hAnsi="仿宋" w:eastAsia="仿宋" w:cs="仿宋"/>
          <w:sz w:val="28"/>
          <w:szCs w:val="28"/>
          <w:u w:val="single"/>
        </w:rPr>
      </w:pPr>
      <w:r>
        <w:rPr>
          <w:rFonts w:hint="eastAsia" w:ascii="仿宋" w:hAnsi="仿宋" w:eastAsia="仿宋" w:cs="仿宋"/>
          <w:b/>
          <w:sz w:val="28"/>
          <w:szCs w:val="28"/>
        </w:rPr>
        <w:t>3.3.3</w:t>
      </w:r>
      <w:r>
        <w:rPr>
          <w:rFonts w:hint="eastAsia" w:ascii="仿宋" w:hAnsi="仿宋" w:eastAsia="仿宋" w:cs="仿宋"/>
          <w:sz w:val="28"/>
          <w:szCs w:val="28"/>
        </w:rPr>
        <w:t>承包人无正当理由拒绝撤换主要施工管理人员的违约责任：</w:t>
      </w:r>
      <w:r>
        <w:rPr>
          <w:rFonts w:hint="eastAsia" w:ascii="仿宋" w:hAnsi="仿宋" w:eastAsia="仿宋" w:cs="仿宋"/>
          <w:sz w:val="28"/>
          <w:szCs w:val="28"/>
          <w:u w:val="single"/>
        </w:rPr>
        <w:t>发包人对不称职的主要施工管理人员和技术负责人有权要求承包人更换。承包人自接到更换通知之日起2天内另行委派具有法定资格、适合施工要求的技术负责人、施工员（专业工程师）、安全员到位，否则，每延迟一天，承包人按技术负责人2000元/人/天，施工员（专业工程师）、安全员1000元/人/天向发包人支付违约金；延迟时间超过30日还未委派合格的技术负责人到位的，发包人有权解除本合同，并由承包人按工程合同价格的10%承担违约责任。承包人无正当理由停止施工或撤离现场的，承包人不得向发包人就尚未支付的工程款取得权利，且发包人有权向承包人索赔。若因发包人原因（资金支付，各部门关系协调等）造成承包人停止施工，给承包人造成经济损失，由发包人会同市监管部门核实签证认可</w:t>
      </w:r>
      <w:r>
        <w:rPr>
          <w:rFonts w:hint="eastAsia" w:ascii="仿宋" w:hAnsi="仿宋" w:eastAsia="仿宋" w:cs="仿宋"/>
          <w:sz w:val="28"/>
          <w:szCs w:val="28"/>
        </w:rPr>
        <w:t>。</w:t>
      </w:r>
    </w:p>
    <w:p w14:paraId="709C4312">
      <w:pPr>
        <w:spacing w:line="360" w:lineRule="exact"/>
        <w:ind w:firstLine="562" w:firstLineChars="200"/>
        <w:rPr>
          <w:rFonts w:ascii="仿宋" w:hAnsi="仿宋" w:eastAsia="仿宋" w:cs="仿宋"/>
          <w:bCs/>
          <w:sz w:val="28"/>
          <w:szCs w:val="28"/>
        </w:rPr>
      </w:pPr>
      <w:r>
        <w:rPr>
          <w:rFonts w:hint="eastAsia" w:ascii="仿宋" w:hAnsi="仿宋" w:eastAsia="仿宋" w:cs="仿宋"/>
          <w:b/>
          <w:sz w:val="28"/>
          <w:szCs w:val="28"/>
        </w:rPr>
        <w:t>3.3.4</w:t>
      </w:r>
      <w:r>
        <w:rPr>
          <w:rFonts w:hint="eastAsia" w:ascii="仿宋" w:hAnsi="仿宋" w:eastAsia="仿宋" w:cs="仿宋"/>
          <w:sz w:val="28"/>
          <w:szCs w:val="28"/>
        </w:rPr>
        <w:t>承包人主要施工管理人员离开施工现场的批准要求：</w:t>
      </w:r>
      <w:r>
        <w:rPr>
          <w:rFonts w:hint="eastAsia" w:ascii="仿宋" w:hAnsi="仿宋" w:eastAsia="仿宋" w:cs="仿宋"/>
          <w:sz w:val="28"/>
          <w:szCs w:val="28"/>
          <w:u w:val="single"/>
        </w:rPr>
        <w:t>承包人必须按规定履行程序，主要施工管理人员、技术负责人不得兼职与外聘，不得离岗、脱岗，否则按技术负责人及其他主要工程管理人员每天1000元标准支付给发包人违约金</w:t>
      </w:r>
      <w:r>
        <w:rPr>
          <w:rFonts w:hint="eastAsia" w:ascii="仿宋" w:hAnsi="仿宋" w:eastAsia="仿宋" w:cs="仿宋"/>
          <w:sz w:val="28"/>
          <w:szCs w:val="28"/>
        </w:rPr>
        <w:t>。</w:t>
      </w:r>
    </w:p>
    <w:p w14:paraId="15731E69">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3.3.5</w:t>
      </w:r>
      <w:r>
        <w:rPr>
          <w:rFonts w:hint="eastAsia" w:ascii="仿宋" w:hAnsi="仿宋" w:eastAsia="仿宋" w:cs="仿宋"/>
          <w:sz w:val="28"/>
          <w:szCs w:val="28"/>
        </w:rPr>
        <w:t>承包人擅自更换主要施工管理人员的违约责任：</w:t>
      </w:r>
      <w:r>
        <w:rPr>
          <w:rFonts w:hint="eastAsia" w:ascii="仿宋" w:hAnsi="仿宋" w:eastAsia="仿宋" w:cs="仿宋"/>
          <w:sz w:val="28"/>
          <w:szCs w:val="28"/>
          <w:u w:val="single"/>
        </w:rPr>
        <w:t>承包人在投标书承诺的组织机构人员（包括主要施工管理人员、主要技术负责人）必须是本单位的人员，不得更换。在进场施工时，技术负责人与投标文件所报的主要技术负责人不一致时，发包人有权拒绝接受与投标文件所报的主要技术负责人不一致的人员履职，并书面通知承包人委派招标文件承诺的主要技术负责人到场履职，承包人仍然不按照投标承诺和合同约定委派技术负责人到场履职的，发包人有权解除合同，由承包人按工程总价款的10%承担违约责任。并以资质挂靠行为上报建设行政主管部门进行处罚。如确有特殊情况需更换的，需经发包人同意，并上报市监管部门核备，并按每更换一名技术负责人处罚承包人违约金10万元，每更换一名主要施工管理人员处罚承包人违约金5万元</w:t>
      </w:r>
      <w:r>
        <w:rPr>
          <w:rFonts w:hint="eastAsia" w:ascii="仿宋" w:hAnsi="仿宋" w:eastAsia="仿宋" w:cs="仿宋"/>
          <w:sz w:val="28"/>
          <w:szCs w:val="28"/>
        </w:rPr>
        <w:t>。</w:t>
      </w:r>
    </w:p>
    <w:p w14:paraId="081503CB">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承包人主要施工管理人员擅自离开施工现场的违约责任：</w:t>
      </w:r>
      <w:r>
        <w:rPr>
          <w:rFonts w:hint="eastAsia" w:ascii="仿宋" w:hAnsi="仿宋" w:eastAsia="仿宋" w:cs="仿宋"/>
          <w:sz w:val="28"/>
          <w:szCs w:val="28"/>
          <w:u w:val="single"/>
        </w:rPr>
        <w:t>缺勤一天支付违约金2000元</w:t>
      </w:r>
      <w:r>
        <w:rPr>
          <w:rFonts w:hint="eastAsia" w:ascii="仿宋" w:hAnsi="仿宋" w:eastAsia="仿宋" w:cs="仿宋"/>
          <w:sz w:val="28"/>
          <w:szCs w:val="28"/>
        </w:rPr>
        <w:t>。</w:t>
      </w:r>
    </w:p>
    <w:p w14:paraId="0B3D2D73">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w:t>
      </w:r>
      <w:bookmarkStart w:id="106" w:name="_Toc296503159"/>
      <w:bookmarkStart w:id="107" w:name="_Toc296944498"/>
      <w:bookmarkStart w:id="108" w:name="_Toc292559869"/>
      <w:bookmarkStart w:id="109" w:name="_Toc312677988"/>
      <w:bookmarkStart w:id="110" w:name="_Toc297048345"/>
      <w:bookmarkStart w:id="111" w:name="_Toc303539102"/>
      <w:bookmarkStart w:id="112" w:name="_Toc296346660"/>
      <w:bookmarkStart w:id="113" w:name="_Toc297216151"/>
      <w:bookmarkStart w:id="114" w:name="_Toc296890987"/>
      <w:bookmarkStart w:id="115" w:name="_Toc297123492"/>
      <w:bookmarkStart w:id="116" w:name="_Toc296347158"/>
      <w:bookmarkStart w:id="117" w:name="_Toc297120459"/>
      <w:bookmarkStart w:id="118" w:name="_Toc304295523"/>
      <w:bookmarkStart w:id="119" w:name="_Toc300934945"/>
      <w:bookmarkStart w:id="120" w:name="_Toc296891199"/>
      <w:bookmarkStart w:id="121" w:name="_Toc292559364"/>
      <w:r>
        <w:rPr>
          <w:rFonts w:hint="eastAsia" w:ascii="仿宋" w:hAnsi="仿宋" w:eastAsia="仿宋" w:cs="仿宋"/>
          <w:b/>
          <w:bCs/>
          <w:sz w:val="28"/>
          <w:szCs w:val="28"/>
        </w:rPr>
        <w:t>.5分包</w:t>
      </w:r>
    </w:p>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14:paraId="7FD761AF">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3</w:t>
      </w:r>
      <w:bookmarkStart w:id="122" w:name="_Toc296346661"/>
      <w:bookmarkStart w:id="123" w:name="_Toc297048346"/>
      <w:bookmarkStart w:id="124" w:name="_Toc292559870"/>
      <w:bookmarkStart w:id="125" w:name="_Toc297120460"/>
      <w:bookmarkStart w:id="126" w:name="_Toc303539103"/>
      <w:bookmarkStart w:id="127" w:name="_Toc296890988"/>
      <w:bookmarkStart w:id="128" w:name="_Toc296891200"/>
      <w:bookmarkStart w:id="129" w:name="_Toc296347159"/>
      <w:bookmarkStart w:id="130" w:name="_Toc296944499"/>
      <w:bookmarkStart w:id="131" w:name="_Toc297216152"/>
      <w:bookmarkStart w:id="132" w:name="_Toc296503160"/>
      <w:bookmarkStart w:id="133" w:name="_Toc304295524"/>
      <w:bookmarkStart w:id="134" w:name="_Toc297123493"/>
      <w:bookmarkStart w:id="135" w:name="_Toc292559365"/>
      <w:bookmarkStart w:id="136" w:name="_Toc300934946"/>
      <w:bookmarkStart w:id="137" w:name="_Toc312677989"/>
      <w:bookmarkStart w:id="138" w:name="_Toc318581158"/>
      <w:r>
        <w:rPr>
          <w:rFonts w:hint="eastAsia" w:ascii="仿宋" w:hAnsi="仿宋" w:eastAsia="仿宋" w:cs="仿宋"/>
          <w:b/>
          <w:sz w:val="28"/>
          <w:szCs w:val="28"/>
        </w:rPr>
        <w:t>.5.1</w:t>
      </w:r>
      <w:r>
        <w:rPr>
          <w:rFonts w:hint="eastAsia" w:ascii="仿宋" w:hAnsi="仿宋" w:eastAsia="仿宋" w:cs="仿宋"/>
          <w:sz w:val="28"/>
          <w:szCs w:val="28"/>
        </w:rPr>
        <w:t>分包的一般约定</w:t>
      </w:r>
    </w:p>
    <w:p w14:paraId="66BC760B">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禁止分包的工程包括：</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Start w:id="139" w:name="_Toc296890989"/>
      <w:bookmarkStart w:id="140" w:name="_Toc297048347"/>
      <w:bookmarkStart w:id="141" w:name="_Toc297120461"/>
      <w:bookmarkStart w:id="142" w:name="_Toc296503161"/>
      <w:bookmarkStart w:id="143" w:name="_Toc304295525"/>
      <w:bookmarkStart w:id="144" w:name="_Toc296891201"/>
      <w:bookmarkStart w:id="145" w:name="_Toc297123494"/>
      <w:bookmarkStart w:id="146" w:name="_Toc296944500"/>
      <w:bookmarkStart w:id="147" w:name="_Toc296346662"/>
      <w:bookmarkStart w:id="148" w:name="_Toc303539104"/>
      <w:bookmarkStart w:id="149" w:name="_Toc297216153"/>
      <w:bookmarkStart w:id="150" w:name="_Toc300934947"/>
      <w:bookmarkStart w:id="151" w:name="_Toc296347160"/>
    </w:p>
    <w:p w14:paraId="727B5A06">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主体结构、关键性工作的范围：</w:t>
      </w:r>
      <w:r>
        <w:rPr>
          <w:rFonts w:hint="eastAsia" w:ascii="仿宋" w:hAnsi="仿宋" w:eastAsia="仿宋" w:cs="仿宋"/>
          <w:sz w:val="28"/>
          <w:szCs w:val="28"/>
          <w:u w:val="single"/>
        </w:rPr>
        <w:t>/</w:t>
      </w:r>
      <w:r>
        <w:rPr>
          <w:rFonts w:hint="eastAsia" w:ascii="仿宋" w:hAnsi="仿宋" w:eastAsia="仿宋" w:cs="仿宋"/>
          <w:sz w:val="28"/>
          <w:szCs w:val="28"/>
        </w:rPr>
        <w:t>。</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3AC4118F">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3</w:t>
      </w:r>
      <w:bookmarkStart w:id="152" w:name="_Toc312677990"/>
      <w:bookmarkStart w:id="153" w:name="_Toc318581159"/>
      <w:r>
        <w:rPr>
          <w:rFonts w:hint="eastAsia" w:ascii="仿宋" w:hAnsi="仿宋" w:eastAsia="仿宋" w:cs="仿宋"/>
          <w:b/>
          <w:sz w:val="28"/>
          <w:szCs w:val="28"/>
        </w:rPr>
        <w:t>.5.2</w:t>
      </w:r>
      <w:r>
        <w:rPr>
          <w:rFonts w:hint="eastAsia" w:ascii="仿宋" w:hAnsi="仿宋" w:eastAsia="仿宋" w:cs="仿宋"/>
          <w:sz w:val="28"/>
          <w:szCs w:val="28"/>
        </w:rPr>
        <w:t>分包的确定</w:t>
      </w:r>
    </w:p>
    <w:p w14:paraId="58B0E4BB">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允许分包的专业工程包括：</w:t>
      </w:r>
      <w:r>
        <w:rPr>
          <w:rFonts w:hint="eastAsia" w:ascii="仿宋" w:hAnsi="仿宋" w:eastAsia="仿宋" w:cs="仿宋"/>
          <w:sz w:val="28"/>
          <w:szCs w:val="28"/>
          <w:u w:val="single"/>
        </w:rPr>
        <w:t>/</w:t>
      </w:r>
      <w:r>
        <w:rPr>
          <w:rFonts w:hint="eastAsia" w:ascii="仿宋" w:hAnsi="仿宋" w:eastAsia="仿宋" w:cs="仿宋"/>
          <w:sz w:val="28"/>
          <w:szCs w:val="28"/>
        </w:rPr>
        <w:t>。</w:t>
      </w:r>
    </w:p>
    <w:p w14:paraId="6849D45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其他关于分包的约定：</w:t>
      </w:r>
      <w:r>
        <w:rPr>
          <w:rFonts w:hint="eastAsia" w:ascii="仿宋" w:hAnsi="仿宋" w:eastAsia="仿宋" w:cs="仿宋"/>
          <w:sz w:val="28"/>
          <w:szCs w:val="28"/>
          <w:u w:val="single"/>
        </w:rPr>
        <w:t>/</w:t>
      </w:r>
      <w:r>
        <w:rPr>
          <w:rFonts w:hint="eastAsia" w:ascii="仿宋" w:hAnsi="仿宋" w:eastAsia="仿宋" w:cs="仿宋"/>
          <w:sz w:val="28"/>
          <w:szCs w:val="28"/>
        </w:rPr>
        <w:t>。</w:t>
      </w:r>
    </w:p>
    <w:p w14:paraId="2313505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3.5.4分包合同价款</w:t>
      </w:r>
    </w:p>
    <w:p w14:paraId="15017528">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关于分包合同价款支付的约定：</w:t>
      </w:r>
      <w:r>
        <w:rPr>
          <w:rFonts w:hint="eastAsia" w:ascii="仿宋" w:hAnsi="仿宋" w:eastAsia="仿宋" w:cs="仿宋"/>
          <w:sz w:val="28"/>
          <w:szCs w:val="28"/>
          <w:u w:val="single"/>
        </w:rPr>
        <w:t>/</w:t>
      </w:r>
      <w:r>
        <w:rPr>
          <w:rFonts w:hint="eastAsia" w:ascii="仿宋" w:hAnsi="仿宋" w:eastAsia="仿宋" w:cs="仿宋"/>
          <w:sz w:val="28"/>
          <w:szCs w:val="28"/>
        </w:rPr>
        <w:t>。</w:t>
      </w:r>
    </w:p>
    <w:bookmarkEnd w:id="152"/>
    <w:bookmarkEnd w:id="153"/>
    <w:p w14:paraId="5B91E3C4">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3.6工程照管与成品、半成品保护</w:t>
      </w:r>
    </w:p>
    <w:p w14:paraId="0641CE18">
      <w:pPr>
        <w:spacing w:line="360" w:lineRule="exact"/>
        <w:ind w:firstLine="560" w:firstLineChars="200"/>
        <w:rPr>
          <w:rFonts w:ascii="仿宋" w:hAnsi="仿宋" w:eastAsia="仿宋" w:cs="仿宋"/>
          <w:kern w:val="0"/>
          <w:sz w:val="28"/>
          <w:szCs w:val="28"/>
          <w:u w:val="single"/>
        </w:rPr>
      </w:pPr>
      <w:r>
        <w:rPr>
          <w:rFonts w:hint="eastAsia" w:ascii="仿宋" w:hAnsi="仿宋" w:eastAsia="仿宋" w:cs="仿宋"/>
          <w:kern w:val="0"/>
          <w:sz w:val="28"/>
          <w:szCs w:val="28"/>
        </w:rPr>
        <w:t>承包人负责照管工程及工程相关的材料、工程设备的起始时间：</w:t>
      </w:r>
      <w:r>
        <w:rPr>
          <w:rFonts w:hint="eastAsia" w:ascii="仿宋" w:hAnsi="仿宋" w:eastAsia="仿宋" w:cs="仿宋"/>
          <w:color w:val="FF0000"/>
          <w:sz w:val="28"/>
          <w:szCs w:val="28"/>
          <w:u w:val="single"/>
        </w:rPr>
        <w:t>承包人自进场之日起对甲方已验收合格的工程、材料、成品、半成品负有照管责任</w:t>
      </w:r>
      <w:r>
        <w:rPr>
          <w:rFonts w:hint="eastAsia" w:ascii="仿宋" w:hAnsi="仿宋" w:eastAsia="仿宋" w:cs="仿宋"/>
          <w:sz w:val="28"/>
          <w:szCs w:val="28"/>
        </w:rPr>
        <w:t>。</w:t>
      </w:r>
    </w:p>
    <w:p w14:paraId="0273F360">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3.7履约担保</w:t>
      </w:r>
    </w:p>
    <w:p w14:paraId="1EAEC7B1">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承包人是否提供履约担保：</w:t>
      </w:r>
      <w:r>
        <w:rPr>
          <w:rFonts w:hint="eastAsia" w:ascii="仿宋" w:hAnsi="仿宋" w:eastAsia="仿宋" w:cs="仿宋"/>
          <w:sz w:val="28"/>
          <w:szCs w:val="28"/>
          <w:u w:val="single"/>
        </w:rPr>
        <w:t>是</w:t>
      </w:r>
      <w:r>
        <w:rPr>
          <w:rFonts w:hint="eastAsia" w:ascii="仿宋" w:hAnsi="仿宋" w:eastAsia="仿宋" w:cs="仿宋"/>
          <w:sz w:val="28"/>
          <w:szCs w:val="28"/>
        </w:rPr>
        <w:t>。</w:t>
      </w:r>
    </w:p>
    <w:p w14:paraId="021F90F2">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承包人提供履约担保的形式、金额及期限：</w:t>
      </w:r>
      <w:bookmarkStart w:id="154" w:name="_Toc351203636"/>
      <w:r>
        <w:rPr>
          <w:rFonts w:hint="eastAsia" w:ascii="仿宋" w:hAnsi="仿宋" w:eastAsia="仿宋" w:cs="仿宋"/>
          <w:sz w:val="28"/>
          <w:szCs w:val="28"/>
          <w:u w:val="single"/>
        </w:rPr>
        <w:t>银行转账或银行履约保函，按中标金额的10%缴纳。</w:t>
      </w:r>
    </w:p>
    <w:p w14:paraId="7C7A8C57">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u w:val="single"/>
        </w:rPr>
        <w:t>承包人在与发包人签订施工合同前必须向发包人提交规定金额的履约保证金或银行履约保函，保函有效期为合同工期再延长90日</w:t>
      </w:r>
      <w:r>
        <w:rPr>
          <w:rFonts w:hint="eastAsia" w:ascii="仿宋" w:hAnsi="仿宋" w:eastAsia="仿宋" w:cs="仿宋"/>
          <w:sz w:val="28"/>
          <w:szCs w:val="28"/>
        </w:rPr>
        <w:t>。</w:t>
      </w:r>
    </w:p>
    <w:p w14:paraId="08057B3D">
      <w:pPr>
        <w:spacing w:line="360" w:lineRule="exact"/>
        <w:ind w:firstLine="562" w:firstLineChars="200"/>
        <w:jc w:val="left"/>
        <w:rPr>
          <w:rFonts w:ascii="仿宋" w:hAnsi="仿宋" w:eastAsia="仿宋" w:cs="仿宋"/>
          <w:b/>
          <w:sz w:val="28"/>
          <w:szCs w:val="28"/>
        </w:rPr>
      </w:pPr>
      <w:r>
        <w:rPr>
          <w:rFonts w:hint="eastAsia" w:ascii="仿宋" w:hAnsi="仿宋" w:eastAsia="仿宋" w:cs="仿宋"/>
          <w:b/>
          <w:sz w:val="28"/>
          <w:szCs w:val="28"/>
        </w:rPr>
        <w:t>4</w:t>
      </w:r>
      <w:bookmarkStart w:id="155" w:name="_Toc297120462"/>
      <w:bookmarkStart w:id="156" w:name="_Toc296890990"/>
      <w:bookmarkStart w:id="157" w:name="_Toc267251413"/>
      <w:bookmarkStart w:id="158" w:name="_Toc292559871"/>
      <w:bookmarkStart w:id="159" w:name="_Toc296944501"/>
      <w:bookmarkStart w:id="160" w:name="_Toc296347161"/>
      <w:bookmarkStart w:id="161" w:name="_Toc296891202"/>
      <w:bookmarkStart w:id="162" w:name="_Toc296346663"/>
      <w:bookmarkStart w:id="163" w:name="_Toc296503162"/>
      <w:bookmarkStart w:id="164" w:name="_Toc297048348"/>
      <w:bookmarkStart w:id="165" w:name="_Toc292559366"/>
      <w:r>
        <w:rPr>
          <w:rFonts w:hint="eastAsia" w:ascii="仿宋" w:hAnsi="仿宋" w:eastAsia="仿宋" w:cs="仿宋"/>
          <w:b/>
          <w:sz w:val="28"/>
          <w:szCs w:val="28"/>
        </w:rPr>
        <w:t>.监</w:t>
      </w:r>
      <w:bookmarkEnd w:id="155"/>
      <w:bookmarkEnd w:id="156"/>
      <w:bookmarkEnd w:id="157"/>
      <w:bookmarkEnd w:id="158"/>
      <w:bookmarkEnd w:id="159"/>
      <w:bookmarkEnd w:id="160"/>
      <w:bookmarkEnd w:id="161"/>
      <w:bookmarkEnd w:id="162"/>
      <w:bookmarkEnd w:id="163"/>
      <w:bookmarkEnd w:id="164"/>
      <w:bookmarkEnd w:id="165"/>
      <w:r>
        <w:rPr>
          <w:rFonts w:hint="eastAsia" w:ascii="仿宋" w:hAnsi="仿宋" w:eastAsia="仿宋" w:cs="仿宋"/>
          <w:b/>
          <w:sz w:val="28"/>
          <w:szCs w:val="28"/>
        </w:rPr>
        <w:t>理人</w:t>
      </w:r>
      <w:bookmarkEnd w:id="154"/>
    </w:p>
    <w:p w14:paraId="22195C97">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4.1</w:t>
      </w:r>
      <w:r>
        <w:rPr>
          <w:rFonts w:hint="eastAsia" w:ascii="仿宋" w:hAnsi="仿宋" w:eastAsia="仿宋" w:cs="仿宋"/>
          <w:sz w:val="28"/>
          <w:szCs w:val="28"/>
        </w:rPr>
        <w:t>监理人的一般规定</w:t>
      </w:r>
    </w:p>
    <w:p w14:paraId="249E5E86">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关于监理人的监理内容：监理人进行工程建设合同管理，按照合同控制工程的建设投资、质量、进度、安全、环保，并协调有关各方和工作关系</w:t>
      </w:r>
      <w:r>
        <w:rPr>
          <w:rFonts w:hint="eastAsia" w:ascii="仿宋" w:hAnsi="仿宋" w:eastAsia="仿宋" w:cs="仿宋"/>
          <w:sz w:val="28"/>
          <w:szCs w:val="28"/>
        </w:rPr>
        <w:t>。</w:t>
      </w:r>
    </w:p>
    <w:p w14:paraId="44D0046B">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关于监理人的监理权限：</w:t>
      </w:r>
      <w:r>
        <w:rPr>
          <w:rFonts w:hint="eastAsia" w:ascii="仿宋" w:hAnsi="仿宋" w:eastAsia="仿宋" w:cs="仿宋"/>
          <w:sz w:val="28"/>
          <w:szCs w:val="28"/>
          <w:u w:val="single"/>
        </w:rPr>
        <w:t>（1）审批工程施工组织设计、进度计划和技术方案，向承包人提出建议，并向发包人提出书面报告；（2）主持工程建设中有关的参建各方的组织协调和会议；（3）对本工程的安全文明施工进行监督、管理；（4）征得发包人同意，监理人有权发布开工令、停工令、复工令。如在紧急情况下未能事先报告时，则应在24小时内向发包人作出书面报告；（5）工程施工进度的检查、监督权，以及工程实际竣工日期提前或超过工程施工合同规定的竣工期限的签认权；（6）在工程施工合同约定的工程价格范围内，工程款支付的审核和签认权，以及工程结算的确认复核权与否决权等</w:t>
      </w:r>
      <w:r>
        <w:rPr>
          <w:rFonts w:hint="eastAsia" w:ascii="仿宋" w:hAnsi="仿宋" w:eastAsia="仿宋" w:cs="仿宋"/>
          <w:sz w:val="28"/>
          <w:szCs w:val="28"/>
        </w:rPr>
        <w:t>。</w:t>
      </w:r>
    </w:p>
    <w:p w14:paraId="36735467">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关于监理人在施工现场的办公场所、生活场所的提供和费用承担的约定：</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6E2DE44D">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4.2</w:t>
      </w:r>
      <w:r>
        <w:rPr>
          <w:rFonts w:hint="eastAsia" w:ascii="仿宋" w:hAnsi="仿宋" w:eastAsia="仿宋" w:cs="仿宋"/>
          <w:sz w:val="28"/>
          <w:szCs w:val="28"/>
        </w:rPr>
        <w:t>监理人员</w:t>
      </w:r>
    </w:p>
    <w:p w14:paraId="2C91FF48">
      <w:pPr>
        <w:spacing w:line="360" w:lineRule="exact"/>
        <w:ind w:firstLine="560" w:firstLineChars="200"/>
        <w:rPr>
          <w:rFonts w:ascii="仿宋" w:hAnsi="仿宋" w:eastAsia="仿宋" w:cs="仿宋"/>
          <w:sz w:val="28"/>
          <w:szCs w:val="28"/>
        </w:rPr>
      </w:pPr>
      <w:bookmarkStart w:id="166" w:name="_Toc304295527"/>
      <w:bookmarkStart w:id="167" w:name="_Toc297123496"/>
      <w:bookmarkStart w:id="168" w:name="_Toc303539106"/>
      <w:bookmarkStart w:id="169" w:name="_Toc300934949"/>
      <w:bookmarkStart w:id="170" w:name="_Toc312677997"/>
      <w:bookmarkStart w:id="171" w:name="_Toc318581164"/>
      <w:bookmarkStart w:id="172" w:name="_Toc297216155"/>
      <w:bookmarkStart w:id="173" w:name="_Toc296503163"/>
      <w:bookmarkStart w:id="174" w:name="_Toc296347162"/>
      <w:bookmarkStart w:id="175" w:name="_Toc296890991"/>
      <w:bookmarkStart w:id="176" w:name="_Toc296346664"/>
      <w:bookmarkStart w:id="177" w:name="_Toc296891203"/>
      <w:bookmarkStart w:id="178" w:name="_Toc296944502"/>
      <w:bookmarkStart w:id="179" w:name="_Toc292559872"/>
      <w:bookmarkStart w:id="180" w:name="_Toc292559367"/>
      <w:bookmarkStart w:id="181" w:name="_Toc297048349"/>
      <w:bookmarkStart w:id="182" w:name="_Toc297120463"/>
      <w:r>
        <w:rPr>
          <w:rFonts w:hint="eastAsia" w:ascii="仿宋" w:hAnsi="仿宋" w:eastAsia="仿宋" w:cs="仿宋"/>
          <w:sz w:val="28"/>
          <w:szCs w:val="28"/>
        </w:rPr>
        <w:t>总监理工程师：</w:t>
      </w:r>
    </w:p>
    <w:p w14:paraId="15CCB664">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姓    名：</w:t>
      </w:r>
      <w:r>
        <w:rPr>
          <w:rFonts w:hint="eastAsia" w:ascii="仿宋" w:hAnsi="仿宋" w:eastAsia="仿宋" w:cs="仿宋"/>
          <w:sz w:val="28"/>
          <w:szCs w:val="28"/>
          <w:u w:val="single"/>
        </w:rPr>
        <w:t>【】</w:t>
      </w:r>
      <w:r>
        <w:rPr>
          <w:rFonts w:hint="eastAsia" w:ascii="仿宋" w:hAnsi="仿宋" w:eastAsia="仿宋" w:cs="仿宋"/>
          <w:sz w:val="28"/>
          <w:szCs w:val="28"/>
        </w:rPr>
        <w:t>；</w:t>
      </w:r>
    </w:p>
    <w:p w14:paraId="50A2B583">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职    务：</w:t>
      </w:r>
      <w:r>
        <w:rPr>
          <w:rFonts w:hint="eastAsia" w:ascii="仿宋" w:hAnsi="仿宋" w:eastAsia="仿宋" w:cs="仿宋"/>
          <w:sz w:val="28"/>
          <w:szCs w:val="28"/>
          <w:u w:val="single"/>
        </w:rPr>
        <w:t>【】</w:t>
      </w:r>
      <w:r>
        <w:rPr>
          <w:rFonts w:hint="eastAsia" w:ascii="仿宋" w:hAnsi="仿宋" w:eastAsia="仿宋" w:cs="仿宋"/>
          <w:sz w:val="28"/>
          <w:szCs w:val="28"/>
        </w:rPr>
        <w:t>；</w:t>
      </w:r>
    </w:p>
    <w:p w14:paraId="1919B61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监理工程师执业资格证书号：</w:t>
      </w:r>
      <w:r>
        <w:rPr>
          <w:rFonts w:hint="eastAsia" w:ascii="仿宋" w:hAnsi="仿宋" w:eastAsia="仿宋" w:cs="仿宋"/>
          <w:sz w:val="28"/>
          <w:szCs w:val="28"/>
          <w:u w:val="single"/>
        </w:rPr>
        <w:t>【】</w:t>
      </w:r>
      <w:r>
        <w:rPr>
          <w:rFonts w:hint="eastAsia" w:ascii="仿宋" w:hAnsi="仿宋" w:eastAsia="仿宋" w:cs="仿宋"/>
          <w:sz w:val="28"/>
          <w:szCs w:val="28"/>
        </w:rPr>
        <w:t>；</w:t>
      </w:r>
    </w:p>
    <w:p w14:paraId="0C569F14">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hint="eastAsia" w:ascii="仿宋" w:hAnsi="仿宋" w:eastAsia="仿宋" w:cs="仿宋"/>
          <w:sz w:val="28"/>
          <w:szCs w:val="28"/>
          <w:u w:val="single"/>
        </w:rPr>
        <w:t>【】</w:t>
      </w:r>
      <w:r>
        <w:rPr>
          <w:rFonts w:hint="eastAsia" w:ascii="仿宋" w:hAnsi="仿宋" w:eastAsia="仿宋" w:cs="仿宋"/>
          <w:sz w:val="28"/>
          <w:szCs w:val="28"/>
        </w:rPr>
        <w:t>；</w:t>
      </w:r>
    </w:p>
    <w:p w14:paraId="2DFD365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电子信箱：</w:t>
      </w:r>
      <w:r>
        <w:rPr>
          <w:rFonts w:hint="eastAsia" w:ascii="仿宋" w:hAnsi="仿宋" w:eastAsia="仿宋" w:cs="仿宋"/>
          <w:sz w:val="28"/>
          <w:szCs w:val="28"/>
          <w:u w:val="single"/>
        </w:rPr>
        <w:t>【】</w:t>
      </w:r>
      <w:r>
        <w:rPr>
          <w:rFonts w:hint="eastAsia" w:ascii="仿宋" w:hAnsi="仿宋" w:eastAsia="仿宋" w:cs="仿宋"/>
          <w:sz w:val="28"/>
          <w:szCs w:val="28"/>
        </w:rPr>
        <w:t>；</w:t>
      </w:r>
    </w:p>
    <w:p w14:paraId="210D4D6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通信地址：</w:t>
      </w:r>
      <w:r>
        <w:rPr>
          <w:rFonts w:hint="eastAsia" w:ascii="仿宋" w:hAnsi="仿宋" w:eastAsia="仿宋" w:cs="仿宋"/>
          <w:sz w:val="28"/>
          <w:szCs w:val="28"/>
          <w:u w:val="single"/>
        </w:rPr>
        <w:t>【】</w:t>
      </w:r>
      <w:r>
        <w:rPr>
          <w:rFonts w:hint="eastAsia" w:ascii="仿宋" w:hAnsi="仿宋" w:eastAsia="仿宋" w:cs="仿宋"/>
          <w:sz w:val="28"/>
          <w:szCs w:val="28"/>
        </w:rPr>
        <w:t>；</w:t>
      </w:r>
    </w:p>
    <w:p w14:paraId="5B7325F7">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关于监理人的其他约定：</w:t>
      </w:r>
      <w:r>
        <w:rPr>
          <w:rFonts w:hint="eastAsia" w:ascii="仿宋" w:hAnsi="仿宋" w:eastAsia="仿宋" w:cs="仿宋"/>
          <w:sz w:val="28"/>
          <w:szCs w:val="28"/>
          <w:u w:val="single"/>
        </w:rPr>
        <w:t>【】</w:t>
      </w:r>
      <w:r>
        <w:rPr>
          <w:rFonts w:hint="eastAsia" w:ascii="仿宋" w:hAnsi="仿宋" w:eastAsia="仿宋" w:cs="仿宋"/>
          <w:sz w:val="28"/>
          <w:szCs w:val="28"/>
        </w:rPr>
        <w:t>。</w:t>
      </w:r>
    </w:p>
    <w:p w14:paraId="50028E93">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4.4</w:t>
      </w:r>
      <w:r>
        <w:rPr>
          <w:rFonts w:hint="eastAsia" w:ascii="仿宋" w:hAnsi="仿宋" w:eastAsia="仿宋" w:cs="仿宋"/>
          <w:sz w:val="28"/>
          <w:szCs w:val="28"/>
        </w:rPr>
        <w:t>商定或确定</w:t>
      </w:r>
    </w:p>
    <w:p w14:paraId="4BE5ECED">
      <w:pPr>
        <w:spacing w:line="360" w:lineRule="exact"/>
        <w:ind w:firstLine="560" w:firstLineChars="200"/>
        <w:rPr>
          <w:rFonts w:ascii="仿宋" w:hAnsi="仿宋" w:eastAsia="仿宋" w:cs="仿宋"/>
          <w:sz w:val="28"/>
          <w:szCs w:val="28"/>
          <w:u w:val="single"/>
        </w:rPr>
      </w:pPr>
      <w:bookmarkStart w:id="183" w:name="_Toc267251418"/>
      <w:r>
        <w:rPr>
          <w:rFonts w:hint="eastAsia" w:ascii="仿宋" w:hAnsi="仿宋" w:eastAsia="仿宋" w:cs="仿宋"/>
          <w:sz w:val="28"/>
          <w:szCs w:val="28"/>
        </w:rPr>
        <w:t>在发包人和承包人不能通过协商达成一致意见时，发包人授权监理人对以下事项进行确定：</w:t>
      </w:r>
      <w:bookmarkStart w:id="184" w:name="_Toc351203637"/>
      <w:r>
        <w:rPr>
          <w:rFonts w:hint="eastAsia" w:ascii="仿宋" w:hAnsi="仿宋" w:eastAsia="仿宋" w:cs="仿宋"/>
          <w:sz w:val="28"/>
          <w:szCs w:val="28"/>
          <w:u w:val="single"/>
        </w:rPr>
        <w:t>/</w:t>
      </w:r>
      <w:r>
        <w:rPr>
          <w:rFonts w:hint="eastAsia" w:ascii="仿宋" w:hAnsi="仿宋" w:eastAsia="仿宋" w:cs="仿宋"/>
          <w:sz w:val="28"/>
          <w:szCs w:val="28"/>
        </w:rPr>
        <w:t>。</w:t>
      </w:r>
    </w:p>
    <w:p w14:paraId="228B21C3">
      <w:pPr>
        <w:spacing w:line="360" w:lineRule="exact"/>
        <w:ind w:firstLine="562" w:firstLineChars="200"/>
        <w:rPr>
          <w:rFonts w:ascii="仿宋" w:hAnsi="仿宋" w:eastAsia="仿宋" w:cs="仿宋"/>
          <w:b/>
          <w:sz w:val="28"/>
          <w:szCs w:val="28"/>
        </w:rPr>
      </w:pPr>
      <w:r>
        <w:rPr>
          <w:rFonts w:hint="eastAsia" w:ascii="仿宋" w:hAnsi="仿宋" w:eastAsia="仿宋" w:cs="仿宋"/>
          <w:b/>
          <w:sz w:val="28"/>
          <w:szCs w:val="28"/>
        </w:rPr>
        <w:t>5</w:t>
      </w:r>
      <w:bookmarkEnd w:id="183"/>
      <w:r>
        <w:rPr>
          <w:rFonts w:hint="eastAsia" w:ascii="仿宋" w:hAnsi="仿宋" w:eastAsia="仿宋" w:cs="仿宋"/>
          <w:b/>
          <w:sz w:val="28"/>
          <w:szCs w:val="28"/>
        </w:rPr>
        <w:t>.工程质量</w:t>
      </w:r>
      <w:bookmarkEnd w:id="184"/>
    </w:p>
    <w:p w14:paraId="73AAA228">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5.1</w:t>
      </w:r>
      <w:r>
        <w:rPr>
          <w:rFonts w:hint="eastAsia" w:ascii="仿宋" w:hAnsi="仿宋" w:eastAsia="仿宋" w:cs="仿宋"/>
          <w:sz w:val="28"/>
          <w:szCs w:val="28"/>
        </w:rPr>
        <w:t>质量要求</w:t>
      </w:r>
    </w:p>
    <w:p w14:paraId="015072B7">
      <w:pPr>
        <w:spacing w:line="36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5.1.1</w:t>
      </w:r>
      <w:r>
        <w:rPr>
          <w:rFonts w:hint="eastAsia" w:ascii="仿宋" w:hAnsi="仿宋" w:eastAsia="仿宋" w:cs="仿宋"/>
          <w:sz w:val="28"/>
          <w:szCs w:val="28"/>
        </w:rPr>
        <w:t>特殊质量标准和要求：</w:t>
      </w:r>
      <w:r>
        <w:rPr>
          <w:rFonts w:hint="eastAsia" w:ascii="仿宋" w:hAnsi="仿宋" w:eastAsia="仿宋" w:cs="仿宋"/>
          <w:sz w:val="28"/>
          <w:szCs w:val="28"/>
          <w:u w:val="single"/>
        </w:rPr>
        <w:t>/</w:t>
      </w:r>
      <w:r>
        <w:rPr>
          <w:rFonts w:hint="eastAsia" w:ascii="仿宋" w:hAnsi="仿宋" w:eastAsia="仿宋" w:cs="仿宋"/>
          <w:sz w:val="28"/>
          <w:szCs w:val="28"/>
        </w:rPr>
        <w:t>。</w:t>
      </w:r>
    </w:p>
    <w:p w14:paraId="1D505A5F">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关于工程奖项的约定：</w:t>
      </w:r>
      <w:r>
        <w:rPr>
          <w:rFonts w:hint="eastAsia" w:ascii="仿宋" w:hAnsi="仿宋" w:eastAsia="仿宋" w:cs="仿宋"/>
          <w:sz w:val="28"/>
          <w:szCs w:val="28"/>
          <w:u w:val="single"/>
        </w:rPr>
        <w:t>/</w:t>
      </w:r>
      <w:r>
        <w:rPr>
          <w:rFonts w:hint="eastAsia" w:ascii="仿宋" w:hAnsi="仿宋" w:eastAsia="仿宋" w:cs="仿宋"/>
          <w:sz w:val="28"/>
          <w:szCs w:val="28"/>
        </w:rPr>
        <w:t>。</w:t>
      </w:r>
    </w:p>
    <w:p w14:paraId="2F197332">
      <w:pPr>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5.1.4</w:t>
      </w:r>
      <w:r>
        <w:rPr>
          <w:rFonts w:hint="eastAsia" w:ascii="仿宋" w:hAnsi="仿宋" w:eastAsia="仿宋" w:cs="仿宋"/>
          <w:sz w:val="28"/>
          <w:szCs w:val="28"/>
          <w:u w:val="single"/>
        </w:rPr>
        <w:t>承包人未按工程设计标准、相关规定和施工组织计划要求进行施工，出现工程质量、安全、文明施工等问题，受到监理人和发包人书面整改通知和通报的，应立即整改到位并书面回复，否则，第一次承包人应向发包人支付2000元的违约金，同一问题第二次承包人支付5000元的违约金，第三次承包人支付10000元的违约金，同时约谈承包人法定代表人，约谈法定代表人后问题仍然没有得到解决的，则上报建设行政主管部门给予承包人不良行为记录，给予不良行为记录后质量安全等问题仍然没有得到解决的，则发包人有权解除合同，由此给发包人造成的经济损失由承包人承担</w:t>
      </w:r>
      <w:r>
        <w:rPr>
          <w:rFonts w:hint="eastAsia" w:ascii="仿宋" w:hAnsi="仿宋" w:eastAsia="仿宋" w:cs="仿宋"/>
          <w:sz w:val="28"/>
          <w:szCs w:val="28"/>
        </w:rPr>
        <w:t>。</w:t>
      </w:r>
    </w:p>
    <w:p w14:paraId="4B3126FD">
      <w:pPr>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5.1.5</w:t>
      </w:r>
      <w:r>
        <w:rPr>
          <w:rFonts w:hint="eastAsia" w:ascii="仿宋" w:hAnsi="仿宋" w:eastAsia="仿宋" w:cs="仿宋"/>
          <w:sz w:val="28"/>
          <w:szCs w:val="28"/>
          <w:u w:val="single"/>
        </w:rPr>
        <w:t>发包人或承包人因工程质量、安全、文明施工等问题受到政府建设主管部书面通报批评的，第一次承包人向发包人支付10000元的违约金，同时约谈承包人有关领导；第二次要求承包人支付50000元的违约金，同时约谈承包人法定代表人，采取包括责令承包人撤换项目经理、技术负责人等措施；第三次要求承包人支付100000元的违约金，并上报建设行政主管部门给予承包人不良行为记录，且发包人有权解除合同，由此给发包人造成的经济损失由承包人承担</w:t>
      </w:r>
      <w:r>
        <w:rPr>
          <w:rFonts w:hint="eastAsia" w:ascii="仿宋" w:hAnsi="仿宋" w:eastAsia="仿宋" w:cs="仿宋"/>
          <w:sz w:val="28"/>
          <w:szCs w:val="28"/>
        </w:rPr>
        <w:t>。</w:t>
      </w:r>
    </w:p>
    <w:p w14:paraId="402CF5C6">
      <w:pPr>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5.1.6</w:t>
      </w:r>
      <w:r>
        <w:rPr>
          <w:rFonts w:hint="eastAsia" w:ascii="仿宋" w:hAnsi="仿宋" w:eastAsia="仿宋" w:cs="仿宋"/>
          <w:sz w:val="28"/>
          <w:szCs w:val="28"/>
          <w:u w:val="single"/>
        </w:rPr>
        <w:t>若因承包人原因造成工程发生质量、安全事故的（造成50万元以上经济损失的质量事故或死亡1人以上的安全事故），质量安全事故的一切损失由承包人承担，要求承包人支付50000违约金，同时约谈承包人法定代表人并责令承包人撤换项目经理或技术负责人，造成第二次质量、安全事故的，除承包人承担事故一切损失外，发包人上报建设行政主管部门给予承包人不良行为记录，要求承包人支付100000违约金，且发包人有权解除本合同</w:t>
      </w:r>
      <w:r>
        <w:rPr>
          <w:rFonts w:hint="eastAsia" w:ascii="仿宋" w:hAnsi="仿宋" w:eastAsia="仿宋" w:cs="仿宋"/>
          <w:sz w:val="28"/>
          <w:szCs w:val="28"/>
        </w:rPr>
        <w:t>。</w:t>
      </w:r>
    </w:p>
    <w:p w14:paraId="74B4B45A">
      <w:pPr>
        <w:spacing w:line="36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5.1.7</w:t>
      </w:r>
      <w:r>
        <w:rPr>
          <w:rFonts w:hint="eastAsia" w:ascii="仿宋" w:hAnsi="仿宋" w:eastAsia="仿宋" w:cs="仿宋"/>
          <w:sz w:val="28"/>
          <w:szCs w:val="28"/>
          <w:u w:val="single"/>
        </w:rPr>
        <w:t>承包人应严格执行发包人和政府建设主管部门下发的工程质量相关规定和制度要求</w:t>
      </w:r>
      <w:r>
        <w:rPr>
          <w:rFonts w:hint="eastAsia" w:ascii="仿宋" w:hAnsi="仿宋" w:eastAsia="仿宋" w:cs="仿宋"/>
          <w:sz w:val="28"/>
          <w:szCs w:val="28"/>
        </w:rPr>
        <w:t>。</w:t>
      </w:r>
    </w:p>
    <w:p w14:paraId="47B1AB05">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5.3</w:t>
      </w:r>
      <w:r>
        <w:rPr>
          <w:rFonts w:hint="eastAsia" w:ascii="仿宋" w:hAnsi="仿宋" w:eastAsia="仿宋" w:cs="仿宋"/>
          <w:sz w:val="28"/>
          <w:szCs w:val="28"/>
        </w:rPr>
        <w:t>隐蔽工程检查</w:t>
      </w:r>
    </w:p>
    <w:p w14:paraId="5D57F800">
      <w:pPr>
        <w:spacing w:line="36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5.3.2</w:t>
      </w:r>
      <w:r>
        <w:rPr>
          <w:rFonts w:hint="eastAsia" w:ascii="仿宋" w:hAnsi="仿宋" w:eastAsia="仿宋" w:cs="仿宋"/>
          <w:sz w:val="28"/>
          <w:szCs w:val="28"/>
        </w:rPr>
        <w:t>承包人提前通知监理人隐蔽工程检查的期限的约定：</w:t>
      </w:r>
      <w:r>
        <w:rPr>
          <w:rFonts w:hint="eastAsia" w:ascii="仿宋" w:hAnsi="仿宋" w:eastAsia="仿宋" w:cs="仿宋"/>
          <w:sz w:val="28"/>
          <w:szCs w:val="28"/>
          <w:u w:val="single"/>
        </w:rPr>
        <w:t>按通用合同条款规定</w:t>
      </w:r>
      <w:r>
        <w:rPr>
          <w:rFonts w:hint="eastAsia" w:ascii="仿宋" w:hAnsi="仿宋" w:eastAsia="仿宋" w:cs="仿宋"/>
          <w:sz w:val="28"/>
          <w:szCs w:val="28"/>
        </w:rPr>
        <w:t>。</w:t>
      </w:r>
    </w:p>
    <w:p w14:paraId="30373927">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监理人不能按时进行检查时，应提前</w:t>
      </w:r>
      <w:r>
        <w:rPr>
          <w:rFonts w:hint="eastAsia" w:ascii="仿宋" w:hAnsi="仿宋" w:eastAsia="仿宋" w:cs="仿宋"/>
          <w:sz w:val="28"/>
          <w:szCs w:val="28"/>
          <w:u w:val="single"/>
        </w:rPr>
        <w:t>24</w:t>
      </w:r>
      <w:r>
        <w:rPr>
          <w:rFonts w:hint="eastAsia" w:ascii="仿宋" w:hAnsi="仿宋" w:eastAsia="仿宋" w:cs="仿宋"/>
          <w:sz w:val="28"/>
          <w:szCs w:val="28"/>
        </w:rPr>
        <w:t>小时提交书面延期要求。</w:t>
      </w:r>
    </w:p>
    <w:p w14:paraId="31928D13">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关于延期最长不得超过：</w:t>
      </w:r>
      <w:r>
        <w:rPr>
          <w:rFonts w:hint="eastAsia" w:ascii="仿宋" w:hAnsi="仿宋" w:eastAsia="仿宋" w:cs="仿宋"/>
          <w:sz w:val="28"/>
          <w:szCs w:val="28"/>
          <w:u w:val="single"/>
        </w:rPr>
        <w:t>48</w:t>
      </w:r>
      <w:r>
        <w:rPr>
          <w:rFonts w:hint="eastAsia" w:ascii="仿宋" w:hAnsi="仿宋" w:eastAsia="仿宋" w:cs="仿宋"/>
          <w:sz w:val="28"/>
          <w:szCs w:val="28"/>
        </w:rPr>
        <w:t>小时。</w:t>
      </w:r>
      <w:bookmarkStart w:id="185" w:name="_Toc351203638"/>
    </w:p>
    <w:p w14:paraId="6C341C90">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5.3.5</w:t>
      </w:r>
      <w:r>
        <w:rPr>
          <w:rFonts w:hint="eastAsia" w:ascii="仿宋" w:hAnsi="仿宋" w:eastAsia="仿宋" w:cs="仿宋"/>
          <w:sz w:val="28"/>
          <w:szCs w:val="28"/>
          <w:u w:val="single"/>
        </w:rPr>
        <w:t>承包人对已完成的隐蔽工程，不按规范要求和规定的程序自检、抽检、送检和验收，擅自覆盖和进入下一道工序的，并无影像资料和相关质量保证记录资料的，第一次，给予批评警告并整改到位；第二次发包人或监理人约见承包人领导并责令撤换项目经理或技术负责人，</w:t>
      </w:r>
      <w:r>
        <w:rPr>
          <w:rFonts w:hint="eastAsia" w:ascii="仿宋" w:hAnsi="仿宋" w:eastAsia="仿宋" w:cs="仿宋"/>
          <w:iCs/>
          <w:sz w:val="28"/>
          <w:szCs w:val="28"/>
          <w:u w:val="single"/>
        </w:rPr>
        <w:t>并由承包人向发包人支付</w:t>
      </w:r>
      <w:r>
        <w:rPr>
          <w:rFonts w:hint="eastAsia" w:ascii="仿宋" w:hAnsi="仿宋" w:eastAsia="仿宋" w:cs="仿宋"/>
          <w:sz w:val="28"/>
          <w:szCs w:val="28"/>
          <w:u w:val="single"/>
        </w:rPr>
        <w:t>5000元的</w:t>
      </w:r>
      <w:r>
        <w:rPr>
          <w:rFonts w:hint="eastAsia" w:ascii="仿宋" w:hAnsi="仿宋" w:eastAsia="仿宋" w:cs="仿宋"/>
          <w:iCs/>
          <w:sz w:val="28"/>
          <w:szCs w:val="28"/>
          <w:u w:val="single"/>
        </w:rPr>
        <w:t>违约金</w:t>
      </w:r>
      <w:r>
        <w:rPr>
          <w:rFonts w:hint="eastAsia" w:ascii="仿宋" w:hAnsi="仿宋" w:eastAsia="仿宋" w:cs="仿宋"/>
          <w:sz w:val="28"/>
          <w:szCs w:val="28"/>
          <w:u w:val="single"/>
        </w:rPr>
        <w:t>；第三次发包人约见承包人法定代表人，</w:t>
      </w:r>
      <w:r>
        <w:rPr>
          <w:rFonts w:hint="eastAsia" w:ascii="仿宋" w:hAnsi="仿宋" w:eastAsia="仿宋" w:cs="仿宋"/>
          <w:iCs/>
          <w:sz w:val="28"/>
          <w:szCs w:val="28"/>
          <w:u w:val="single"/>
        </w:rPr>
        <w:t>并由承包人支付</w:t>
      </w:r>
      <w:r>
        <w:rPr>
          <w:rFonts w:hint="eastAsia" w:ascii="仿宋" w:hAnsi="仿宋" w:eastAsia="仿宋" w:cs="仿宋"/>
          <w:sz w:val="28"/>
          <w:szCs w:val="28"/>
          <w:u w:val="single"/>
        </w:rPr>
        <w:t>10000元的</w:t>
      </w:r>
      <w:r>
        <w:rPr>
          <w:rFonts w:hint="eastAsia" w:ascii="仿宋" w:hAnsi="仿宋" w:eastAsia="仿宋" w:cs="仿宋"/>
          <w:iCs/>
          <w:sz w:val="28"/>
          <w:szCs w:val="28"/>
          <w:u w:val="single"/>
        </w:rPr>
        <w:t>违约金</w:t>
      </w:r>
      <w:r>
        <w:rPr>
          <w:rFonts w:hint="eastAsia" w:ascii="仿宋" w:hAnsi="仿宋" w:eastAsia="仿宋" w:cs="仿宋"/>
          <w:sz w:val="28"/>
          <w:szCs w:val="28"/>
          <w:u w:val="single"/>
        </w:rPr>
        <w:t>，并限期整改，由此增加的费用和（或）延误的工期由承包人承担</w:t>
      </w:r>
      <w:r>
        <w:rPr>
          <w:rFonts w:hint="eastAsia" w:ascii="仿宋" w:hAnsi="仿宋" w:eastAsia="仿宋" w:cs="仿宋"/>
          <w:sz w:val="28"/>
          <w:szCs w:val="28"/>
        </w:rPr>
        <w:t>。</w:t>
      </w:r>
    </w:p>
    <w:p w14:paraId="70B34383">
      <w:pPr>
        <w:spacing w:line="360" w:lineRule="exact"/>
        <w:ind w:firstLine="562" w:firstLineChars="200"/>
        <w:jc w:val="left"/>
        <w:rPr>
          <w:rFonts w:ascii="仿宋" w:hAnsi="仿宋" w:eastAsia="仿宋" w:cs="仿宋"/>
          <w:b/>
          <w:sz w:val="28"/>
          <w:szCs w:val="28"/>
        </w:rPr>
      </w:pPr>
      <w:r>
        <w:rPr>
          <w:rFonts w:hint="eastAsia" w:ascii="仿宋" w:hAnsi="仿宋" w:eastAsia="仿宋" w:cs="仿宋"/>
          <w:b/>
          <w:sz w:val="28"/>
          <w:szCs w:val="28"/>
        </w:rPr>
        <w:t>6.安全文明施工与环境保护</w:t>
      </w:r>
      <w:bookmarkEnd w:id="185"/>
    </w:p>
    <w:p w14:paraId="62D3F479">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6.1</w:t>
      </w:r>
      <w:r>
        <w:rPr>
          <w:rFonts w:hint="eastAsia" w:ascii="仿宋" w:hAnsi="仿宋" w:eastAsia="仿宋" w:cs="仿宋"/>
          <w:sz w:val="28"/>
          <w:szCs w:val="28"/>
        </w:rPr>
        <w:t>安全文明施工</w:t>
      </w:r>
    </w:p>
    <w:p w14:paraId="576BA4D4">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6.1.1</w:t>
      </w:r>
      <w:r>
        <w:rPr>
          <w:rFonts w:hint="eastAsia" w:ascii="仿宋" w:hAnsi="仿宋" w:eastAsia="仿宋" w:cs="仿宋"/>
          <w:sz w:val="28"/>
          <w:szCs w:val="28"/>
        </w:rPr>
        <w:t>项目安全生产的达标目标及相应事项的约定：</w:t>
      </w:r>
      <w:r>
        <w:rPr>
          <w:rFonts w:hint="eastAsia" w:ascii="仿宋" w:hAnsi="仿宋" w:eastAsia="仿宋" w:cs="仿宋"/>
          <w:sz w:val="28"/>
          <w:szCs w:val="28"/>
          <w:u w:val="single"/>
        </w:rPr>
        <w:t>须按相关部门及发包人安全文明管理办法的规定搭设安全标志及施工围档等</w:t>
      </w:r>
      <w:r>
        <w:rPr>
          <w:rFonts w:hint="eastAsia" w:ascii="仿宋" w:hAnsi="仿宋" w:eastAsia="仿宋" w:cs="仿宋"/>
          <w:sz w:val="28"/>
          <w:szCs w:val="28"/>
        </w:rPr>
        <w:t>。</w:t>
      </w:r>
    </w:p>
    <w:p w14:paraId="3C6D1727">
      <w:pPr>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6.1.4</w:t>
      </w:r>
      <w:r>
        <w:rPr>
          <w:rFonts w:hint="eastAsia" w:ascii="仿宋" w:hAnsi="仿宋" w:eastAsia="仿宋" w:cs="仿宋"/>
          <w:sz w:val="28"/>
          <w:szCs w:val="28"/>
        </w:rPr>
        <w:t>关于治安保卫的特别约定：</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6F2F1875">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关于编制施工场地治安管理计划的约定：</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40E0245B">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6.1.5</w:t>
      </w:r>
      <w:r>
        <w:rPr>
          <w:rFonts w:hint="eastAsia" w:ascii="仿宋" w:hAnsi="仿宋" w:eastAsia="仿宋" w:cs="仿宋"/>
          <w:sz w:val="28"/>
          <w:szCs w:val="28"/>
        </w:rPr>
        <w:t>文明施工</w:t>
      </w:r>
    </w:p>
    <w:p w14:paraId="377517E9">
      <w:pPr>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6.1.5.1</w:t>
      </w:r>
      <w:r>
        <w:rPr>
          <w:rFonts w:hint="eastAsia" w:ascii="仿宋" w:hAnsi="仿宋" w:eastAsia="仿宋" w:cs="仿宋"/>
          <w:sz w:val="28"/>
          <w:szCs w:val="28"/>
        </w:rPr>
        <w:t>合同当事人对文明施工的要求：</w:t>
      </w:r>
      <w:r>
        <w:rPr>
          <w:rFonts w:hint="eastAsia" w:ascii="仿宋" w:hAnsi="仿宋" w:eastAsia="仿宋" w:cs="仿宋"/>
          <w:sz w:val="28"/>
          <w:szCs w:val="28"/>
          <w:u w:val="single"/>
        </w:rPr>
        <w:t>须按发包人要求悬挂相关宣传标语，费用由承包人承担；加强环境保护，防止扬尘污染，有效控制施工噪音</w:t>
      </w:r>
      <w:r>
        <w:rPr>
          <w:rFonts w:hint="eastAsia" w:ascii="仿宋" w:hAnsi="仿宋" w:eastAsia="仿宋" w:cs="仿宋"/>
          <w:sz w:val="28"/>
          <w:szCs w:val="28"/>
        </w:rPr>
        <w:t>。</w:t>
      </w:r>
    </w:p>
    <w:p w14:paraId="0CDCBE14">
      <w:pPr>
        <w:spacing w:line="360" w:lineRule="exact"/>
        <w:ind w:firstLine="562" w:firstLineChars="200"/>
        <w:rPr>
          <w:rFonts w:ascii="仿宋" w:hAnsi="仿宋" w:eastAsia="仿宋" w:cs="仿宋"/>
          <w:sz w:val="28"/>
          <w:szCs w:val="28"/>
          <w:u w:val="single"/>
        </w:rPr>
      </w:pPr>
      <w:r>
        <w:rPr>
          <w:rFonts w:hint="eastAsia" w:ascii="仿宋" w:hAnsi="仿宋" w:eastAsia="仿宋" w:cs="仿宋"/>
          <w:b/>
          <w:sz w:val="28"/>
          <w:szCs w:val="28"/>
        </w:rPr>
        <w:t>6.1.5.2</w:t>
      </w:r>
      <w:r>
        <w:rPr>
          <w:rFonts w:hint="eastAsia" w:ascii="仿宋" w:hAnsi="仿宋" w:eastAsia="仿宋" w:cs="仿宋"/>
          <w:sz w:val="28"/>
          <w:szCs w:val="28"/>
          <w:u w:val="single"/>
        </w:rPr>
        <w:t>承包人受到政府建设或环保主管部门因施工措施不到位污染环境问题的书面通报批评的，第一次发包人给承包人发批评整改函，并由承包人向发包人支付10000元的违约金；第二次发包人约谈承包人有关领导，要求承包人支付50000元的违约金；第三次约见承包人法定代表人，限期整改，并要求承包人支付100000元的违约金。若整改后仍达不到要求，发包人可以指定环保机构配合采取环保措施，费用由承包人承担，且有权解除合同，由承包人承担因此造成的一切经济损失</w:t>
      </w:r>
      <w:r>
        <w:rPr>
          <w:rFonts w:hint="eastAsia" w:ascii="仿宋" w:hAnsi="仿宋" w:eastAsia="仿宋" w:cs="仿宋"/>
          <w:sz w:val="28"/>
          <w:szCs w:val="28"/>
        </w:rPr>
        <w:t>。</w:t>
      </w:r>
    </w:p>
    <w:p w14:paraId="2B22C5DB">
      <w:pPr>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6.1.6</w:t>
      </w:r>
      <w:r>
        <w:rPr>
          <w:rFonts w:hint="eastAsia" w:ascii="仿宋" w:hAnsi="仿宋" w:eastAsia="仿宋" w:cs="仿宋"/>
          <w:sz w:val="28"/>
          <w:szCs w:val="28"/>
        </w:rPr>
        <w:t>关于安全文明施工费支付比例和支付期限的约定：</w:t>
      </w:r>
      <w:r>
        <w:rPr>
          <w:rFonts w:hint="eastAsia" w:ascii="仿宋" w:hAnsi="仿宋" w:eastAsia="仿宋" w:cs="仿宋"/>
          <w:sz w:val="28"/>
          <w:szCs w:val="28"/>
          <w:u w:val="single"/>
        </w:rPr>
        <w:t>承包人提供本工程实际发生的文明措施费用凭证，发包人在中标通知书确定的安全文明措施费范围内予以支付</w:t>
      </w:r>
      <w:r>
        <w:rPr>
          <w:rFonts w:hint="eastAsia" w:ascii="仿宋" w:hAnsi="仿宋" w:eastAsia="仿宋" w:cs="仿宋"/>
          <w:sz w:val="28"/>
          <w:szCs w:val="28"/>
        </w:rPr>
        <w:t>。</w:t>
      </w:r>
    </w:p>
    <w:bookmarkEnd w:id="166"/>
    <w:bookmarkEnd w:id="167"/>
    <w:bookmarkEnd w:id="168"/>
    <w:bookmarkEnd w:id="169"/>
    <w:bookmarkEnd w:id="170"/>
    <w:bookmarkEnd w:id="171"/>
    <w:bookmarkEnd w:id="172"/>
    <w:p w14:paraId="6F2A5C75">
      <w:pPr>
        <w:keepNext/>
        <w:keepLines/>
        <w:spacing w:line="360" w:lineRule="exact"/>
        <w:ind w:firstLine="632" w:firstLineChars="225"/>
        <w:outlineLvl w:val="3"/>
        <w:rPr>
          <w:rFonts w:ascii="仿宋" w:hAnsi="仿宋" w:eastAsia="仿宋" w:cs="仿宋"/>
          <w:sz w:val="28"/>
          <w:szCs w:val="28"/>
          <w:u w:val="single"/>
        </w:rPr>
      </w:pPr>
      <w:bookmarkStart w:id="186" w:name="_Toc351203639"/>
      <w:r>
        <w:rPr>
          <w:rFonts w:hint="eastAsia" w:ascii="仿宋" w:hAnsi="仿宋" w:eastAsia="仿宋" w:cs="仿宋"/>
          <w:b/>
          <w:sz w:val="28"/>
          <w:szCs w:val="28"/>
        </w:rPr>
        <w:t>6.1.10</w:t>
      </w:r>
      <w:r>
        <w:rPr>
          <w:rFonts w:hint="eastAsia" w:ascii="仿宋" w:hAnsi="仿宋" w:eastAsia="仿宋" w:cs="仿宋"/>
          <w:sz w:val="28"/>
          <w:szCs w:val="28"/>
          <w:u w:val="single"/>
        </w:rPr>
        <w:t>承包人应严格执行发包人和政府建设主管部门下发的安全文明施工和环境保护相关规定和制度要求</w:t>
      </w:r>
      <w:r>
        <w:rPr>
          <w:rFonts w:hint="eastAsia" w:ascii="仿宋" w:hAnsi="仿宋" w:eastAsia="仿宋" w:cs="仿宋"/>
          <w:sz w:val="28"/>
          <w:szCs w:val="28"/>
        </w:rPr>
        <w:t>。</w:t>
      </w:r>
    </w:p>
    <w:p w14:paraId="232BABFF">
      <w:pPr>
        <w:keepNext/>
        <w:keepLines/>
        <w:spacing w:line="360" w:lineRule="exact"/>
        <w:ind w:firstLine="562" w:firstLineChars="200"/>
        <w:outlineLvl w:val="3"/>
        <w:rPr>
          <w:rFonts w:ascii="仿宋" w:hAnsi="仿宋" w:eastAsia="仿宋" w:cs="仿宋"/>
          <w:b/>
          <w:sz w:val="28"/>
          <w:szCs w:val="28"/>
        </w:rPr>
      </w:pPr>
      <w:r>
        <w:rPr>
          <w:rFonts w:hint="eastAsia" w:ascii="仿宋" w:hAnsi="仿宋" w:eastAsia="仿宋" w:cs="仿宋"/>
          <w:b/>
          <w:sz w:val="28"/>
          <w:szCs w:val="28"/>
        </w:rPr>
        <w:t>7.工期和进度</w:t>
      </w:r>
      <w:bookmarkEnd w:id="186"/>
    </w:p>
    <w:p w14:paraId="38DA1F84">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7.1</w:t>
      </w:r>
      <w:r>
        <w:rPr>
          <w:rFonts w:hint="eastAsia" w:ascii="仿宋" w:hAnsi="仿宋" w:eastAsia="仿宋" w:cs="仿宋"/>
          <w:sz w:val="28"/>
          <w:szCs w:val="28"/>
        </w:rPr>
        <w:t>施工组织设计</w:t>
      </w:r>
    </w:p>
    <w:p w14:paraId="25EE2BF6">
      <w:pPr>
        <w:autoSpaceDE w:val="0"/>
        <w:autoSpaceDN w:val="0"/>
        <w:adjustRightInd w:val="0"/>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7.1.1</w:t>
      </w:r>
      <w:r>
        <w:rPr>
          <w:rFonts w:hint="eastAsia" w:ascii="仿宋" w:hAnsi="仿宋" w:eastAsia="仿宋" w:cs="仿宋"/>
          <w:sz w:val="28"/>
          <w:szCs w:val="28"/>
        </w:rPr>
        <w:t>合</w:t>
      </w:r>
      <w:r>
        <w:rPr>
          <w:rFonts w:hint="eastAsia" w:ascii="仿宋" w:hAnsi="仿宋" w:eastAsia="仿宋" w:cs="仿宋"/>
          <w:kern w:val="0"/>
          <w:sz w:val="28"/>
          <w:szCs w:val="28"/>
        </w:rPr>
        <w:t>同当事人约定的施工组织设计应包括的其他内容</w:t>
      </w:r>
      <w:r>
        <w:rPr>
          <w:rFonts w:hint="eastAsia" w:ascii="仿宋" w:hAnsi="仿宋" w:eastAsia="仿宋" w:cs="仿宋"/>
          <w:sz w:val="28"/>
          <w:szCs w:val="28"/>
        </w:rPr>
        <w:t>：</w:t>
      </w:r>
      <w:r>
        <w:rPr>
          <w:rFonts w:hint="eastAsia" w:ascii="仿宋" w:hAnsi="仿宋" w:eastAsia="仿宋" w:cs="仿宋"/>
          <w:sz w:val="28"/>
          <w:szCs w:val="28"/>
          <w:u w:val="single"/>
        </w:rPr>
        <w:t>/</w:t>
      </w:r>
      <w:r>
        <w:rPr>
          <w:rFonts w:hint="eastAsia" w:ascii="仿宋" w:hAnsi="仿宋" w:eastAsia="仿宋" w:cs="仿宋"/>
          <w:sz w:val="28"/>
          <w:szCs w:val="28"/>
        </w:rPr>
        <w:t>。</w:t>
      </w:r>
    </w:p>
    <w:p w14:paraId="5992B6B4">
      <w:pPr>
        <w:tabs>
          <w:tab w:val="left" w:pos="6747"/>
        </w:tabs>
        <w:autoSpaceDE w:val="0"/>
        <w:autoSpaceDN w:val="0"/>
        <w:adjustRightInd w:val="0"/>
        <w:spacing w:line="360" w:lineRule="exact"/>
        <w:ind w:firstLine="562" w:firstLineChars="200"/>
        <w:jc w:val="left"/>
        <w:rPr>
          <w:rFonts w:ascii="仿宋" w:hAnsi="仿宋" w:eastAsia="仿宋" w:cs="仿宋"/>
          <w:kern w:val="0"/>
          <w:sz w:val="28"/>
          <w:szCs w:val="28"/>
        </w:rPr>
      </w:pPr>
      <w:r>
        <w:rPr>
          <w:rFonts w:hint="eastAsia" w:ascii="仿宋" w:hAnsi="仿宋" w:eastAsia="仿宋" w:cs="仿宋"/>
          <w:b/>
          <w:sz w:val="28"/>
          <w:szCs w:val="28"/>
        </w:rPr>
        <w:t>7.1.2</w:t>
      </w:r>
      <w:r>
        <w:rPr>
          <w:rFonts w:hint="eastAsia" w:ascii="仿宋" w:hAnsi="仿宋" w:eastAsia="仿宋" w:cs="仿宋"/>
          <w:kern w:val="0"/>
          <w:sz w:val="28"/>
          <w:szCs w:val="28"/>
        </w:rPr>
        <w:t>施工组织设计的提交和修改</w:t>
      </w:r>
      <w:r>
        <w:rPr>
          <w:rFonts w:hint="eastAsia" w:ascii="仿宋" w:hAnsi="仿宋" w:eastAsia="仿宋" w:cs="仿宋"/>
          <w:kern w:val="0"/>
          <w:sz w:val="28"/>
          <w:szCs w:val="28"/>
        </w:rPr>
        <w:tab/>
      </w:r>
    </w:p>
    <w:p w14:paraId="20EBEA33">
      <w:pPr>
        <w:autoSpaceDE w:val="0"/>
        <w:autoSpaceDN w:val="0"/>
        <w:adjustRightInd w:val="0"/>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kern w:val="0"/>
          <w:sz w:val="28"/>
          <w:szCs w:val="28"/>
        </w:rPr>
        <w:t>承包人提交详细施工组织设计的期限的约定：</w:t>
      </w:r>
      <w:r>
        <w:rPr>
          <w:rFonts w:hint="eastAsia" w:ascii="仿宋" w:hAnsi="仿宋" w:eastAsia="仿宋" w:cs="仿宋"/>
          <w:sz w:val="28"/>
          <w:szCs w:val="28"/>
          <w:u w:val="single"/>
        </w:rPr>
        <w:t>收到开工通知后计划开工日期前7日内</w:t>
      </w:r>
      <w:r>
        <w:rPr>
          <w:rFonts w:hint="eastAsia" w:ascii="仿宋" w:hAnsi="仿宋" w:eastAsia="仿宋" w:cs="仿宋"/>
          <w:sz w:val="28"/>
          <w:szCs w:val="28"/>
        </w:rPr>
        <w:t>。</w:t>
      </w:r>
    </w:p>
    <w:p w14:paraId="5E35286C">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发包人和监理人在收到详细的施工组织设计后确认或提出修改意见的期限：</w:t>
      </w:r>
      <w:r>
        <w:rPr>
          <w:rFonts w:hint="eastAsia" w:ascii="仿宋" w:hAnsi="仿宋" w:eastAsia="仿宋" w:cs="仿宋"/>
          <w:sz w:val="28"/>
          <w:szCs w:val="28"/>
          <w:u w:val="single"/>
        </w:rPr>
        <w:t>收到文件后7日内</w:t>
      </w:r>
      <w:r>
        <w:rPr>
          <w:rFonts w:hint="eastAsia" w:ascii="仿宋" w:hAnsi="仿宋" w:eastAsia="仿宋" w:cs="仿宋"/>
          <w:sz w:val="28"/>
          <w:szCs w:val="28"/>
        </w:rPr>
        <w:t>。</w:t>
      </w:r>
    </w:p>
    <w:p w14:paraId="148A0E13">
      <w:pPr>
        <w:autoSpaceDE w:val="0"/>
        <w:autoSpaceDN w:val="0"/>
        <w:adjustRightInd w:val="0"/>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7.1.3</w:t>
      </w:r>
      <w:r>
        <w:rPr>
          <w:rFonts w:hint="eastAsia" w:ascii="仿宋" w:hAnsi="仿宋" w:eastAsia="仿宋" w:cs="仿宋"/>
          <w:sz w:val="28"/>
          <w:szCs w:val="28"/>
          <w:u w:val="single"/>
        </w:rPr>
        <w:t>施工方开工后施工组织设计未上交发包人和监理人进行审核，未按发包人和监理人提出的修改意见进行修改的，每发现一次处以承包人2万元的违约金</w:t>
      </w:r>
      <w:r>
        <w:rPr>
          <w:rFonts w:hint="eastAsia" w:ascii="仿宋" w:hAnsi="仿宋" w:eastAsia="仿宋" w:cs="仿宋"/>
          <w:sz w:val="28"/>
          <w:szCs w:val="28"/>
        </w:rPr>
        <w:t>。</w:t>
      </w:r>
    </w:p>
    <w:p w14:paraId="593E2F51">
      <w:pPr>
        <w:autoSpaceDE w:val="0"/>
        <w:autoSpaceDN w:val="0"/>
        <w:adjustRightInd w:val="0"/>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7.1.4</w:t>
      </w:r>
      <w:r>
        <w:rPr>
          <w:rFonts w:hint="eastAsia" w:ascii="仿宋" w:hAnsi="仿宋" w:eastAsia="仿宋" w:cs="仿宋"/>
          <w:sz w:val="28"/>
          <w:szCs w:val="28"/>
          <w:u w:val="single"/>
        </w:rPr>
        <w:t>承包人必须认真编报施工组织设计、施工日记及月报、变更和计量申请表、阶段性验收报告，发包人和监理人将不定期进行抽查，若发现不重视、不编报的，每缺一项，处以承包人2000元的罚款</w:t>
      </w:r>
      <w:r>
        <w:rPr>
          <w:rFonts w:hint="eastAsia" w:ascii="仿宋" w:hAnsi="仿宋" w:eastAsia="仿宋" w:cs="仿宋"/>
          <w:sz w:val="28"/>
          <w:szCs w:val="28"/>
        </w:rPr>
        <w:t>。</w:t>
      </w:r>
    </w:p>
    <w:p w14:paraId="0917B116">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7</w:t>
      </w:r>
      <w:bookmarkStart w:id="187" w:name="_Toc312677479"/>
      <w:bookmarkStart w:id="188" w:name="_Toc300934966"/>
      <w:bookmarkStart w:id="189" w:name="_Toc297123514"/>
      <w:bookmarkStart w:id="190" w:name="_Toc304295541"/>
      <w:bookmarkStart w:id="191" w:name="_Toc312678005"/>
      <w:bookmarkStart w:id="192" w:name="_Toc303539123"/>
      <w:bookmarkStart w:id="193" w:name="_Toc297216173"/>
      <w:r>
        <w:rPr>
          <w:rFonts w:hint="eastAsia" w:ascii="仿宋" w:hAnsi="仿宋" w:eastAsia="仿宋" w:cs="仿宋"/>
          <w:b/>
          <w:bCs/>
          <w:sz w:val="28"/>
          <w:szCs w:val="28"/>
        </w:rPr>
        <w:t>.2</w:t>
      </w:r>
      <w:r>
        <w:rPr>
          <w:rFonts w:hint="eastAsia" w:ascii="仿宋" w:hAnsi="仿宋" w:eastAsia="仿宋" w:cs="仿宋"/>
          <w:sz w:val="28"/>
          <w:szCs w:val="28"/>
        </w:rPr>
        <w:t>施工进度计划</w:t>
      </w:r>
    </w:p>
    <w:p w14:paraId="31A3B128">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7.2.1</w:t>
      </w:r>
      <w:r>
        <w:rPr>
          <w:rFonts w:hint="eastAsia" w:ascii="仿宋" w:hAnsi="仿宋" w:eastAsia="仿宋" w:cs="仿宋"/>
          <w:sz w:val="28"/>
          <w:szCs w:val="28"/>
          <w:u w:val="single"/>
        </w:rPr>
        <w:t>承包人需在本合同签订10天内编制总体施工方案报监理人认可，并按照总体施工进度计划按期编好施工分部分项专项方案经监理人认可后报送发包人</w:t>
      </w:r>
      <w:r>
        <w:rPr>
          <w:rFonts w:hint="eastAsia" w:ascii="仿宋" w:hAnsi="仿宋" w:eastAsia="仿宋" w:cs="仿宋"/>
          <w:sz w:val="28"/>
          <w:szCs w:val="28"/>
        </w:rPr>
        <w:t>。</w:t>
      </w:r>
    </w:p>
    <w:p w14:paraId="11B78ACF">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7.2.2</w:t>
      </w:r>
      <w:r>
        <w:rPr>
          <w:rFonts w:hint="eastAsia" w:ascii="仿宋" w:hAnsi="仿宋" w:eastAsia="仿宋" w:cs="仿宋"/>
          <w:sz w:val="28"/>
          <w:szCs w:val="28"/>
        </w:rPr>
        <w:t>施工进度计划的修订</w:t>
      </w:r>
    </w:p>
    <w:p w14:paraId="1E3BA0BC">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发包人和监理人在收到修订的施工进度计划后确认或提出修改意见的期限：</w:t>
      </w:r>
      <w:r>
        <w:rPr>
          <w:rFonts w:hint="eastAsia" w:ascii="仿宋" w:hAnsi="仿宋" w:eastAsia="仿宋" w:cs="仿宋"/>
          <w:sz w:val="28"/>
          <w:szCs w:val="28"/>
          <w:u w:val="single"/>
        </w:rPr>
        <w:t>收到文件后7日内</w:t>
      </w:r>
      <w:r>
        <w:rPr>
          <w:rFonts w:hint="eastAsia" w:ascii="仿宋" w:hAnsi="仿宋" w:eastAsia="仿宋" w:cs="仿宋"/>
          <w:sz w:val="28"/>
          <w:szCs w:val="28"/>
        </w:rPr>
        <w:t>。</w:t>
      </w:r>
    </w:p>
    <w:p w14:paraId="37ED1565">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7.2.3</w:t>
      </w:r>
      <w:r>
        <w:rPr>
          <w:rFonts w:hint="eastAsia" w:ascii="仿宋" w:hAnsi="仿宋" w:eastAsia="仿宋" w:cs="仿宋"/>
          <w:sz w:val="28"/>
          <w:szCs w:val="28"/>
        </w:rPr>
        <w:t>违约责任</w:t>
      </w:r>
    </w:p>
    <w:p w14:paraId="66055D29">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u w:val="single"/>
        </w:rPr>
        <w:t>（1）计划延报责任：承包人不按时上报施工进度计划，每延报超过2天，从第3天开始按5000元/天的标准由承包人向发包人支付违约金，并在当期计量中予以扣除</w:t>
      </w:r>
      <w:r>
        <w:rPr>
          <w:rFonts w:hint="eastAsia" w:ascii="仿宋" w:hAnsi="仿宋" w:eastAsia="仿宋" w:cs="仿宋"/>
          <w:sz w:val="28"/>
          <w:szCs w:val="28"/>
        </w:rPr>
        <w:t>。</w:t>
      </w:r>
    </w:p>
    <w:p w14:paraId="1170B66E">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u w:val="single"/>
        </w:rPr>
        <w:t>（2）工期延误责任：承包人没有按发包人、监理人的要求，对工作进度出现偏差采取措施及时补救，导致施工实际进度计划与确认的进度计划出现偏离，不能实现工作目标，向发包人支付每延误1天</w:t>
      </w: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rPr>
        <w:t>万元的违约金，并在当期计量中予以扣除</w:t>
      </w:r>
      <w:r>
        <w:rPr>
          <w:rFonts w:hint="eastAsia" w:ascii="仿宋" w:hAnsi="仿宋" w:eastAsia="仿宋" w:cs="仿宋"/>
          <w:sz w:val="28"/>
          <w:szCs w:val="28"/>
        </w:rPr>
        <w:t>。</w:t>
      </w:r>
    </w:p>
    <w:p w14:paraId="070EAB79">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u w:val="single"/>
        </w:rPr>
        <w:t>（3）其它：实际进度计划出现延误后，承包人应采取措施进行补救。如明显不能完成阶段性进度计划，发包人有权分割承包人剩余工程量，并按承包人投标报价的1.2倍单价支付给承担分割工程的施工方。已逐月计算施工进度所延误的天数和承包人已承担的该项违约金，不免除第7.5.2条规定的承包人在工程进度逾期竣工违约金上限内对发包人的违约责任</w:t>
      </w:r>
      <w:r>
        <w:rPr>
          <w:rFonts w:hint="eastAsia" w:ascii="仿宋" w:hAnsi="仿宋" w:eastAsia="仿宋" w:cs="仿宋"/>
          <w:sz w:val="28"/>
          <w:szCs w:val="28"/>
        </w:rPr>
        <w:t>。</w:t>
      </w:r>
    </w:p>
    <w:p w14:paraId="53A12E92">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7.3</w:t>
      </w:r>
      <w:r>
        <w:rPr>
          <w:rFonts w:hint="eastAsia" w:ascii="仿宋" w:hAnsi="仿宋" w:eastAsia="仿宋" w:cs="仿宋"/>
          <w:sz w:val="28"/>
          <w:szCs w:val="28"/>
        </w:rPr>
        <w:t>开工</w:t>
      </w:r>
    </w:p>
    <w:p w14:paraId="495CD779">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7.3.1</w:t>
      </w:r>
      <w:r>
        <w:rPr>
          <w:rFonts w:hint="eastAsia" w:ascii="仿宋" w:hAnsi="仿宋" w:eastAsia="仿宋" w:cs="仿宋"/>
          <w:sz w:val="28"/>
          <w:szCs w:val="28"/>
        </w:rPr>
        <w:t>开工准备</w:t>
      </w:r>
    </w:p>
    <w:p w14:paraId="759013ED">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关于承包人提交</w:t>
      </w:r>
      <w:r>
        <w:rPr>
          <w:rFonts w:hint="eastAsia" w:ascii="仿宋" w:hAnsi="仿宋" w:eastAsia="仿宋" w:cs="仿宋"/>
          <w:kern w:val="0"/>
          <w:sz w:val="28"/>
          <w:szCs w:val="28"/>
        </w:rPr>
        <w:t>工程开工报审表的期限：</w:t>
      </w:r>
      <w:r>
        <w:rPr>
          <w:rFonts w:hint="eastAsia" w:ascii="仿宋" w:hAnsi="仿宋" w:eastAsia="仿宋" w:cs="仿宋"/>
          <w:sz w:val="28"/>
          <w:szCs w:val="28"/>
          <w:u w:val="single"/>
        </w:rPr>
        <w:t>收到开工通知后计划开工日期前7日内</w:t>
      </w:r>
      <w:r>
        <w:rPr>
          <w:rFonts w:hint="eastAsia" w:ascii="仿宋" w:hAnsi="仿宋" w:eastAsia="仿宋" w:cs="仿宋"/>
          <w:sz w:val="28"/>
          <w:szCs w:val="28"/>
        </w:rPr>
        <w:t>。</w:t>
      </w:r>
    </w:p>
    <w:p w14:paraId="6047E378">
      <w:pPr>
        <w:spacing w:line="360" w:lineRule="exact"/>
        <w:ind w:firstLine="645"/>
        <w:jc w:val="left"/>
        <w:rPr>
          <w:rFonts w:ascii="仿宋" w:hAnsi="仿宋" w:eastAsia="仿宋" w:cs="仿宋"/>
          <w:sz w:val="28"/>
          <w:szCs w:val="28"/>
          <w:u w:val="single"/>
        </w:rPr>
      </w:pPr>
      <w:r>
        <w:rPr>
          <w:rFonts w:hint="eastAsia" w:ascii="仿宋" w:hAnsi="仿宋" w:eastAsia="仿宋" w:cs="仿宋"/>
          <w:sz w:val="28"/>
          <w:szCs w:val="28"/>
        </w:rPr>
        <w:t>关于发包人应完成的其他开工准备工作及期限：</w:t>
      </w:r>
      <w:r>
        <w:rPr>
          <w:rFonts w:hint="eastAsia" w:ascii="仿宋" w:hAnsi="仿宋" w:eastAsia="仿宋" w:cs="仿宋"/>
          <w:sz w:val="28"/>
          <w:szCs w:val="28"/>
          <w:u w:val="single"/>
        </w:rPr>
        <w:t>/</w:t>
      </w:r>
      <w:r>
        <w:rPr>
          <w:rFonts w:hint="eastAsia" w:ascii="仿宋" w:hAnsi="仿宋" w:eastAsia="仿宋" w:cs="仿宋"/>
          <w:sz w:val="28"/>
          <w:szCs w:val="28"/>
        </w:rPr>
        <w:t>。</w:t>
      </w:r>
    </w:p>
    <w:p w14:paraId="4C1DBD31">
      <w:pPr>
        <w:spacing w:line="360" w:lineRule="exact"/>
        <w:ind w:firstLine="645"/>
        <w:jc w:val="left"/>
        <w:rPr>
          <w:rFonts w:ascii="仿宋" w:hAnsi="仿宋" w:eastAsia="仿宋" w:cs="仿宋"/>
          <w:sz w:val="28"/>
          <w:szCs w:val="28"/>
          <w:u w:val="single"/>
        </w:rPr>
      </w:pPr>
      <w:r>
        <w:rPr>
          <w:rFonts w:hint="eastAsia" w:ascii="仿宋" w:hAnsi="仿宋" w:eastAsia="仿宋" w:cs="仿宋"/>
          <w:sz w:val="28"/>
          <w:szCs w:val="28"/>
        </w:rPr>
        <w:t>关于承包人应完成的其他开工准备工作及期限：</w:t>
      </w:r>
      <w:r>
        <w:rPr>
          <w:rFonts w:hint="eastAsia" w:ascii="仿宋" w:hAnsi="仿宋" w:eastAsia="仿宋" w:cs="仿宋"/>
          <w:sz w:val="28"/>
          <w:szCs w:val="28"/>
          <w:u w:val="single"/>
        </w:rPr>
        <w:t>其他开工准备包括但不限于驻地建设、人员到位、图纸和预算审查、现场复测等；收到开工通知后计划开工日期前7日内</w:t>
      </w:r>
      <w:r>
        <w:rPr>
          <w:rFonts w:hint="eastAsia" w:ascii="仿宋" w:hAnsi="仿宋" w:eastAsia="仿宋" w:cs="仿宋"/>
          <w:sz w:val="28"/>
          <w:szCs w:val="28"/>
        </w:rPr>
        <w:t>。</w:t>
      </w:r>
    </w:p>
    <w:p w14:paraId="0AD5EBB4">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7.3.2</w:t>
      </w:r>
      <w:r>
        <w:rPr>
          <w:rFonts w:hint="eastAsia" w:ascii="仿宋" w:hAnsi="仿宋" w:eastAsia="仿宋" w:cs="仿宋"/>
          <w:sz w:val="28"/>
          <w:szCs w:val="28"/>
        </w:rPr>
        <w:t>开工通知</w:t>
      </w:r>
    </w:p>
    <w:bookmarkEnd w:id="187"/>
    <w:bookmarkEnd w:id="188"/>
    <w:bookmarkEnd w:id="189"/>
    <w:bookmarkEnd w:id="190"/>
    <w:bookmarkEnd w:id="191"/>
    <w:bookmarkEnd w:id="192"/>
    <w:bookmarkEnd w:id="193"/>
    <w:p w14:paraId="0A780940">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因发包人原因造成监理人未能在承包人批准的计划开工日期之日起</w:t>
      </w:r>
      <w:r>
        <w:rPr>
          <w:rFonts w:hint="eastAsia" w:ascii="仿宋" w:hAnsi="仿宋" w:eastAsia="仿宋" w:cs="仿宋"/>
          <w:sz w:val="28"/>
          <w:szCs w:val="28"/>
          <w:u w:val="single"/>
        </w:rPr>
        <w:t>90</w:t>
      </w:r>
      <w:r>
        <w:rPr>
          <w:rFonts w:hint="eastAsia" w:ascii="仿宋" w:hAnsi="仿宋" w:eastAsia="仿宋" w:cs="仿宋"/>
          <w:sz w:val="28"/>
          <w:szCs w:val="28"/>
        </w:rPr>
        <w:t>天内发出开工通知的，承包人有权提出价格调整要求，或者解除合同。</w:t>
      </w:r>
    </w:p>
    <w:p w14:paraId="72DFF42D">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7.4</w:t>
      </w:r>
      <w:r>
        <w:rPr>
          <w:rFonts w:hint="eastAsia" w:ascii="仿宋" w:hAnsi="仿宋" w:eastAsia="仿宋" w:cs="仿宋"/>
          <w:sz w:val="28"/>
          <w:szCs w:val="28"/>
        </w:rPr>
        <w:t>测量放线</w:t>
      </w:r>
    </w:p>
    <w:p w14:paraId="6531DC9B">
      <w:pPr>
        <w:spacing w:line="360" w:lineRule="exact"/>
        <w:ind w:firstLine="562" w:firstLineChars="200"/>
        <w:jc w:val="left"/>
        <w:rPr>
          <w:rFonts w:ascii="仿宋" w:hAnsi="仿宋" w:eastAsia="仿宋" w:cs="仿宋"/>
          <w:sz w:val="28"/>
          <w:szCs w:val="28"/>
          <w:u w:val="single"/>
        </w:rPr>
      </w:pPr>
      <w:r>
        <w:rPr>
          <w:rFonts w:hint="eastAsia" w:ascii="仿宋" w:hAnsi="仿宋" w:eastAsia="仿宋" w:cs="仿宋"/>
          <w:b/>
          <w:sz w:val="28"/>
          <w:szCs w:val="28"/>
        </w:rPr>
        <w:t>7.4.1</w:t>
      </w:r>
      <w:r>
        <w:rPr>
          <w:rFonts w:hint="eastAsia" w:ascii="仿宋" w:hAnsi="仿宋" w:eastAsia="仿宋" w:cs="仿宋"/>
          <w:sz w:val="28"/>
          <w:szCs w:val="28"/>
        </w:rPr>
        <w:t>发包人通过监理人向承包人提供测量基准点、基准线和水准点及其书面资料的期限：</w:t>
      </w:r>
      <w:r>
        <w:rPr>
          <w:rFonts w:hint="eastAsia" w:ascii="仿宋" w:hAnsi="仿宋" w:eastAsia="仿宋" w:cs="仿宋"/>
          <w:sz w:val="28"/>
          <w:szCs w:val="28"/>
          <w:u w:val="single"/>
        </w:rPr>
        <w:t>开工前7天</w:t>
      </w:r>
      <w:r>
        <w:rPr>
          <w:rFonts w:hint="eastAsia" w:ascii="仿宋" w:hAnsi="仿宋" w:eastAsia="仿宋" w:cs="仿宋"/>
          <w:sz w:val="28"/>
          <w:szCs w:val="28"/>
        </w:rPr>
        <w:t>。</w:t>
      </w:r>
    </w:p>
    <w:p w14:paraId="5AA5493F">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7</w:t>
      </w:r>
      <w:bookmarkStart w:id="194" w:name="_Toc297216175"/>
      <w:bookmarkStart w:id="195" w:name="_Toc312678010"/>
      <w:bookmarkStart w:id="196" w:name="_Toc303539125"/>
      <w:bookmarkStart w:id="197" w:name="_Toc304295546"/>
      <w:bookmarkStart w:id="198" w:name="_Toc300934968"/>
      <w:bookmarkStart w:id="199" w:name="_Toc297123516"/>
      <w:bookmarkStart w:id="200" w:name="_Toc312677484"/>
      <w:r>
        <w:rPr>
          <w:rFonts w:hint="eastAsia" w:ascii="仿宋" w:hAnsi="仿宋" w:eastAsia="仿宋" w:cs="仿宋"/>
          <w:b/>
          <w:bCs/>
          <w:sz w:val="28"/>
          <w:szCs w:val="28"/>
        </w:rPr>
        <w:t>.5</w:t>
      </w:r>
      <w:r>
        <w:rPr>
          <w:rFonts w:hint="eastAsia" w:ascii="仿宋" w:hAnsi="仿宋" w:eastAsia="仿宋" w:cs="仿宋"/>
          <w:sz w:val="28"/>
          <w:szCs w:val="28"/>
        </w:rPr>
        <w:t>工期延误</w:t>
      </w:r>
    </w:p>
    <w:bookmarkEnd w:id="194"/>
    <w:bookmarkEnd w:id="195"/>
    <w:bookmarkEnd w:id="196"/>
    <w:bookmarkEnd w:id="197"/>
    <w:bookmarkEnd w:id="198"/>
    <w:bookmarkEnd w:id="199"/>
    <w:bookmarkEnd w:id="200"/>
    <w:p w14:paraId="197C55EC">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7.5.1</w:t>
      </w:r>
      <w:r>
        <w:rPr>
          <w:rFonts w:hint="eastAsia" w:ascii="仿宋" w:hAnsi="仿宋" w:eastAsia="仿宋" w:cs="仿宋"/>
          <w:sz w:val="28"/>
          <w:szCs w:val="28"/>
        </w:rPr>
        <w:t>因发包人原因导致工期延误</w:t>
      </w:r>
    </w:p>
    <w:p w14:paraId="7F25EC37">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（7）因发包人原因导致工期延误的其他情形：</w:t>
      </w:r>
      <w:r>
        <w:rPr>
          <w:rFonts w:hint="eastAsia" w:ascii="仿宋" w:hAnsi="仿宋" w:eastAsia="仿宋" w:cs="仿宋"/>
          <w:sz w:val="28"/>
          <w:szCs w:val="28"/>
          <w:u w:val="single"/>
        </w:rPr>
        <w:t>政府及上级主管部门的批示文件</w:t>
      </w:r>
      <w:r>
        <w:rPr>
          <w:rFonts w:hint="eastAsia" w:ascii="仿宋" w:hAnsi="仿宋" w:eastAsia="仿宋" w:cs="仿宋"/>
          <w:sz w:val="28"/>
          <w:szCs w:val="28"/>
        </w:rPr>
        <w:t>。</w:t>
      </w:r>
    </w:p>
    <w:p w14:paraId="26DB8D6E">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7</w:t>
      </w:r>
      <w:bookmarkStart w:id="201" w:name="_Toc312677486"/>
      <w:bookmarkStart w:id="202" w:name="_Toc318581169"/>
      <w:bookmarkStart w:id="203" w:name="_Toc312678012"/>
      <w:bookmarkStart w:id="204" w:name="_Toc300934970"/>
      <w:bookmarkStart w:id="205" w:name="_Toc304295548"/>
      <w:bookmarkStart w:id="206" w:name="_Toc303539127"/>
      <w:bookmarkStart w:id="207" w:name="_Toc297123518"/>
      <w:bookmarkStart w:id="208" w:name="_Toc297216177"/>
      <w:r>
        <w:rPr>
          <w:rFonts w:hint="eastAsia" w:ascii="仿宋" w:hAnsi="仿宋" w:eastAsia="仿宋" w:cs="仿宋"/>
          <w:b/>
          <w:sz w:val="28"/>
          <w:szCs w:val="28"/>
        </w:rPr>
        <w:t>.5.2</w:t>
      </w:r>
      <w:r>
        <w:rPr>
          <w:rFonts w:hint="eastAsia" w:ascii="仿宋" w:hAnsi="仿宋" w:eastAsia="仿宋" w:cs="仿宋"/>
          <w:sz w:val="28"/>
          <w:szCs w:val="28"/>
        </w:rPr>
        <w:t>因承包人原因导致工期延误</w:t>
      </w:r>
    </w:p>
    <w:bookmarkEnd w:id="201"/>
    <w:bookmarkEnd w:id="202"/>
    <w:bookmarkEnd w:id="203"/>
    <w:p w14:paraId="7C46E6E0">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因</w:t>
      </w:r>
      <w:bookmarkStart w:id="209" w:name="_Toc312677487"/>
      <w:bookmarkStart w:id="210" w:name="_Toc318581170"/>
      <w:bookmarkStart w:id="211" w:name="_Toc312678013"/>
      <w:r>
        <w:rPr>
          <w:rFonts w:hint="eastAsia" w:ascii="仿宋" w:hAnsi="仿宋" w:eastAsia="仿宋" w:cs="仿宋"/>
          <w:sz w:val="28"/>
          <w:szCs w:val="28"/>
        </w:rPr>
        <w:t>承包人原因造成工期延误，逾期竣工违约金的计算方法为：</w:t>
      </w:r>
      <w:bookmarkEnd w:id="204"/>
      <w:bookmarkEnd w:id="205"/>
      <w:bookmarkEnd w:id="206"/>
      <w:bookmarkEnd w:id="207"/>
      <w:bookmarkEnd w:id="208"/>
      <w:bookmarkEnd w:id="209"/>
      <w:bookmarkEnd w:id="210"/>
      <w:bookmarkEnd w:id="211"/>
      <w:r>
        <w:rPr>
          <w:rFonts w:hint="eastAsia" w:ascii="仿宋" w:hAnsi="仿宋" w:eastAsia="仿宋" w:cs="仿宋"/>
          <w:sz w:val="28"/>
          <w:szCs w:val="28"/>
          <w:u w:val="single"/>
        </w:rPr>
        <w:t>经业主批准的施工组织计划承包人必须落实，如果承包人在计划工期前完不成约定的施工任务，每推迟一天承包人向发包人支付人民币</w:t>
      </w: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rPr>
        <w:t>万元的违约金。如确因恶劣天气造成一些工序不能施工，经发包人报市政府批准，可采取适当的特别措施确保正常施工，由此增加相关措施费予以计量</w:t>
      </w:r>
      <w:r>
        <w:rPr>
          <w:rFonts w:hint="eastAsia" w:ascii="仿宋" w:hAnsi="仿宋" w:eastAsia="仿宋" w:cs="仿宋"/>
          <w:sz w:val="28"/>
          <w:szCs w:val="28"/>
        </w:rPr>
        <w:t>。</w:t>
      </w:r>
    </w:p>
    <w:p w14:paraId="6EAED4F2">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因承包人原因造成工期延误，逾</w:t>
      </w:r>
      <w:bookmarkStart w:id="212" w:name="_Toc318581171"/>
      <w:bookmarkStart w:id="213" w:name="_Toc312678014"/>
      <w:r>
        <w:rPr>
          <w:rFonts w:hint="eastAsia" w:ascii="仿宋" w:hAnsi="仿宋" w:eastAsia="仿宋" w:cs="仿宋"/>
          <w:sz w:val="28"/>
          <w:szCs w:val="28"/>
        </w:rPr>
        <w:t>期竣工违约金的上限：</w:t>
      </w:r>
      <w:r>
        <w:rPr>
          <w:rFonts w:hint="eastAsia" w:ascii="仿宋" w:hAnsi="仿宋" w:eastAsia="仿宋" w:cs="仿宋"/>
          <w:sz w:val="28"/>
          <w:szCs w:val="28"/>
          <w:u w:val="single"/>
        </w:rPr>
        <w:t>合同签订施工总价款的</w:t>
      </w:r>
      <w:r>
        <w:rPr>
          <w:rFonts w:hint="eastAsia" w:ascii="仿宋" w:hAnsi="仿宋" w:eastAsia="仿宋" w:cs="仿宋"/>
          <w:sz w:val="28"/>
          <w:szCs w:val="28"/>
          <w:u w:val="single"/>
          <w:lang w:val="en-US" w:eastAsia="zh-CN"/>
        </w:rPr>
        <w:t>10</w:t>
      </w:r>
      <w:r>
        <w:rPr>
          <w:rFonts w:hint="eastAsia" w:ascii="仿宋" w:hAnsi="仿宋" w:eastAsia="仿宋" w:cs="仿宋"/>
          <w:sz w:val="28"/>
          <w:szCs w:val="28"/>
          <w:u w:val="single"/>
        </w:rPr>
        <w:t>%</w:t>
      </w:r>
      <w:r>
        <w:rPr>
          <w:rFonts w:hint="eastAsia" w:ascii="仿宋" w:hAnsi="仿宋" w:eastAsia="仿宋" w:cs="仿宋"/>
          <w:sz w:val="28"/>
          <w:szCs w:val="28"/>
        </w:rPr>
        <w:t>。</w:t>
      </w:r>
      <w:bookmarkEnd w:id="212"/>
      <w:bookmarkEnd w:id="213"/>
    </w:p>
    <w:p w14:paraId="09AE12B2">
      <w:pPr>
        <w:spacing w:line="360" w:lineRule="exact"/>
        <w:ind w:firstLine="562" w:firstLineChars="200"/>
        <w:rPr>
          <w:rFonts w:ascii="仿宋" w:hAnsi="仿宋" w:eastAsia="仿宋" w:cs="仿宋"/>
          <w:sz w:val="28"/>
          <w:szCs w:val="28"/>
          <w:u w:val="single"/>
        </w:rPr>
      </w:pPr>
      <w:r>
        <w:rPr>
          <w:rFonts w:hint="eastAsia" w:ascii="仿宋" w:hAnsi="仿宋" w:eastAsia="仿宋" w:cs="仿宋"/>
          <w:b/>
          <w:sz w:val="28"/>
          <w:szCs w:val="28"/>
          <w:u w:val="single"/>
        </w:rPr>
        <w:t>7.5.3</w:t>
      </w:r>
      <w:r>
        <w:rPr>
          <w:rFonts w:hint="eastAsia" w:ascii="仿宋" w:hAnsi="仿宋" w:eastAsia="仿宋" w:cs="仿宋"/>
          <w:sz w:val="28"/>
          <w:szCs w:val="28"/>
          <w:u w:val="single"/>
        </w:rPr>
        <w:t>双方约定工期顺延的情况：</w:t>
      </w:r>
    </w:p>
    <w:p w14:paraId="556EA9D1">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（1）设计变更并导致关键线路上相应项目工程量增加10%以上</w:t>
      </w:r>
      <w:r>
        <w:rPr>
          <w:rFonts w:hint="eastAsia" w:ascii="仿宋" w:hAnsi="仿宋" w:eastAsia="仿宋" w:cs="仿宋"/>
          <w:sz w:val="28"/>
          <w:szCs w:val="28"/>
        </w:rPr>
        <w:t>；</w:t>
      </w:r>
    </w:p>
    <w:p w14:paraId="7803C63F">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（2）当每月停水或停电累计达到24h以上，则对超过24h部分的工期予以顺延</w:t>
      </w:r>
      <w:r>
        <w:rPr>
          <w:rFonts w:hint="eastAsia" w:ascii="仿宋" w:hAnsi="仿宋" w:eastAsia="仿宋" w:cs="仿宋"/>
          <w:sz w:val="28"/>
          <w:szCs w:val="28"/>
        </w:rPr>
        <w:t>。</w:t>
      </w:r>
    </w:p>
    <w:p w14:paraId="752DED81">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7</w:t>
      </w:r>
      <w:bookmarkStart w:id="214" w:name="_Toc312678015"/>
      <w:bookmarkStart w:id="215" w:name="_Toc297123519"/>
      <w:bookmarkStart w:id="216" w:name="_Toc303539128"/>
      <w:bookmarkStart w:id="217" w:name="_Toc300934971"/>
      <w:bookmarkStart w:id="218" w:name="_Toc304295549"/>
      <w:bookmarkStart w:id="219" w:name="_Toc297216178"/>
      <w:r>
        <w:rPr>
          <w:rFonts w:hint="eastAsia" w:ascii="仿宋" w:hAnsi="仿宋" w:eastAsia="仿宋" w:cs="仿宋"/>
          <w:b/>
          <w:bCs/>
          <w:sz w:val="28"/>
          <w:szCs w:val="28"/>
        </w:rPr>
        <w:t>.6</w:t>
      </w:r>
      <w:r>
        <w:rPr>
          <w:rFonts w:hint="eastAsia" w:ascii="仿宋" w:hAnsi="仿宋" w:eastAsia="仿宋" w:cs="仿宋"/>
          <w:sz w:val="28"/>
          <w:szCs w:val="28"/>
        </w:rPr>
        <w:t>不</w:t>
      </w:r>
      <w:bookmarkEnd w:id="214"/>
      <w:bookmarkEnd w:id="215"/>
      <w:bookmarkEnd w:id="216"/>
      <w:bookmarkEnd w:id="217"/>
      <w:bookmarkEnd w:id="218"/>
      <w:bookmarkEnd w:id="219"/>
      <w:r>
        <w:rPr>
          <w:rFonts w:hint="eastAsia" w:ascii="仿宋" w:hAnsi="仿宋" w:eastAsia="仿宋" w:cs="仿宋"/>
          <w:sz w:val="28"/>
          <w:szCs w:val="28"/>
        </w:rPr>
        <w:t>利物质条件</w:t>
      </w:r>
    </w:p>
    <w:p w14:paraId="1EF05E70">
      <w:pPr>
        <w:spacing w:line="360" w:lineRule="exact"/>
        <w:ind w:firstLine="560" w:firstLineChars="200"/>
        <w:rPr>
          <w:rFonts w:ascii="仿宋" w:hAnsi="仿宋" w:eastAsia="仿宋" w:cs="仿宋"/>
          <w:sz w:val="28"/>
          <w:szCs w:val="28"/>
        </w:rPr>
      </w:pPr>
      <w:bookmarkStart w:id="220" w:name="_Toc304295550"/>
      <w:bookmarkStart w:id="221" w:name="_Toc297123520"/>
      <w:bookmarkStart w:id="222" w:name="_Toc300934972"/>
      <w:bookmarkStart w:id="223" w:name="_Toc312678016"/>
      <w:bookmarkStart w:id="224" w:name="_Toc303539129"/>
      <w:bookmarkStart w:id="225" w:name="_Toc318581172"/>
      <w:bookmarkStart w:id="226" w:name="_Toc297216179"/>
      <w:r>
        <w:rPr>
          <w:rFonts w:hint="eastAsia" w:ascii="仿宋" w:hAnsi="仿宋" w:eastAsia="仿宋" w:cs="仿宋"/>
          <w:sz w:val="28"/>
          <w:szCs w:val="28"/>
        </w:rPr>
        <w:t>不利物质条件的其他情形和有关约定：</w:t>
      </w:r>
      <w:r>
        <w:rPr>
          <w:rFonts w:hint="eastAsia" w:ascii="仿宋" w:hAnsi="仿宋" w:eastAsia="仿宋" w:cs="仿宋"/>
          <w:sz w:val="28"/>
          <w:szCs w:val="28"/>
          <w:u w:val="single"/>
        </w:rPr>
        <w:t>/</w:t>
      </w:r>
      <w:r>
        <w:rPr>
          <w:rFonts w:hint="eastAsia" w:ascii="仿宋" w:hAnsi="仿宋" w:eastAsia="仿宋" w:cs="仿宋"/>
          <w:sz w:val="28"/>
          <w:szCs w:val="28"/>
        </w:rPr>
        <w:t>。</w:t>
      </w:r>
    </w:p>
    <w:bookmarkEnd w:id="220"/>
    <w:bookmarkEnd w:id="221"/>
    <w:bookmarkEnd w:id="222"/>
    <w:bookmarkEnd w:id="223"/>
    <w:bookmarkEnd w:id="224"/>
    <w:bookmarkEnd w:id="225"/>
    <w:bookmarkEnd w:id="226"/>
    <w:p w14:paraId="3AE84424">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7</w:t>
      </w:r>
      <w:bookmarkStart w:id="227" w:name="_Toc297216180"/>
      <w:bookmarkStart w:id="228" w:name="_Toc312678017"/>
      <w:bookmarkStart w:id="229" w:name="_Toc300934973"/>
      <w:bookmarkStart w:id="230" w:name="_Toc303539130"/>
      <w:bookmarkStart w:id="231" w:name="_Toc304295551"/>
      <w:bookmarkStart w:id="232" w:name="_Toc297123521"/>
      <w:r>
        <w:rPr>
          <w:rFonts w:hint="eastAsia" w:ascii="仿宋" w:hAnsi="仿宋" w:eastAsia="仿宋" w:cs="仿宋"/>
          <w:b/>
          <w:bCs/>
          <w:sz w:val="28"/>
          <w:szCs w:val="28"/>
        </w:rPr>
        <w:t>.7</w:t>
      </w:r>
      <w:r>
        <w:rPr>
          <w:rFonts w:hint="eastAsia" w:ascii="仿宋" w:hAnsi="仿宋" w:eastAsia="仿宋" w:cs="仿宋"/>
          <w:sz w:val="28"/>
          <w:szCs w:val="28"/>
        </w:rPr>
        <w:t>异常恶劣的气候条件</w:t>
      </w:r>
    </w:p>
    <w:bookmarkEnd w:id="227"/>
    <w:bookmarkEnd w:id="228"/>
    <w:bookmarkEnd w:id="229"/>
    <w:bookmarkEnd w:id="230"/>
    <w:bookmarkEnd w:id="231"/>
    <w:bookmarkEnd w:id="232"/>
    <w:p w14:paraId="705BB1D0">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发包人和承包人同意以下情形视为异常恶劣的气候条件：</w:t>
      </w:r>
    </w:p>
    <w:p w14:paraId="2BB119DF">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w:t>
      </w:r>
      <w:r>
        <w:rPr>
          <w:rFonts w:hint="eastAsia" w:ascii="仿宋" w:hAnsi="仿宋" w:eastAsia="仿宋" w:cs="仿宋"/>
          <w:sz w:val="28"/>
          <w:szCs w:val="28"/>
          <w:u w:val="single"/>
        </w:rPr>
        <w:t>异常气候条件是指项目所在地发生连续五天以上40℃以上高温或发生连续一周以上的冰冻天气；或五十年一遇及以上的强降雨</w:t>
      </w:r>
      <w:r>
        <w:rPr>
          <w:rFonts w:hint="eastAsia" w:ascii="仿宋" w:hAnsi="仿宋" w:eastAsia="仿宋" w:cs="仿宋"/>
          <w:sz w:val="28"/>
          <w:szCs w:val="28"/>
        </w:rPr>
        <w:t>；</w:t>
      </w:r>
    </w:p>
    <w:p w14:paraId="02929A5E">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（2）</w:t>
      </w:r>
      <w:r>
        <w:rPr>
          <w:rFonts w:hint="eastAsia" w:ascii="仿宋" w:hAnsi="仿宋" w:eastAsia="仿宋" w:cs="仿宋"/>
          <w:sz w:val="28"/>
          <w:szCs w:val="28"/>
          <w:u w:val="single"/>
        </w:rPr>
        <w:t>市级以上政府部门或建设行政主管部门发布或认可的雪、洪、震灾</w:t>
      </w:r>
      <w:r>
        <w:rPr>
          <w:rFonts w:hint="eastAsia" w:ascii="仿宋" w:hAnsi="仿宋" w:eastAsia="仿宋" w:cs="仿宋"/>
          <w:sz w:val="28"/>
          <w:szCs w:val="28"/>
        </w:rPr>
        <w:t>。</w:t>
      </w:r>
    </w:p>
    <w:p w14:paraId="783BE92B">
      <w:pPr>
        <w:spacing w:line="360" w:lineRule="exact"/>
        <w:ind w:firstLine="546" w:firstLineChars="200"/>
        <w:rPr>
          <w:rFonts w:ascii="仿宋" w:hAnsi="仿宋" w:eastAsia="仿宋" w:cs="仿宋"/>
          <w:b/>
          <w:sz w:val="28"/>
          <w:szCs w:val="28"/>
        </w:rPr>
      </w:pPr>
      <w:r>
        <w:rPr>
          <w:rFonts w:hint="eastAsia" w:ascii="仿宋" w:hAnsi="仿宋" w:eastAsia="仿宋" w:cs="仿宋"/>
          <w:b/>
          <w:bCs/>
          <w:spacing w:val="-4"/>
          <w:kern w:val="0"/>
          <w:sz w:val="28"/>
          <w:szCs w:val="28"/>
        </w:rPr>
        <w:t>8.</w:t>
      </w:r>
      <w:r>
        <w:rPr>
          <w:rFonts w:hint="eastAsia" w:ascii="仿宋" w:hAnsi="仿宋" w:eastAsia="仿宋" w:cs="仿宋"/>
          <w:b/>
          <w:sz w:val="28"/>
          <w:szCs w:val="28"/>
        </w:rPr>
        <w:t>材料与设备</w:t>
      </w:r>
    </w:p>
    <w:p w14:paraId="4D2DEF0A">
      <w:pPr>
        <w:spacing w:line="360" w:lineRule="exact"/>
        <w:ind w:firstLine="546" w:firstLineChars="200"/>
        <w:rPr>
          <w:rFonts w:ascii="仿宋" w:hAnsi="仿宋" w:eastAsia="仿宋" w:cs="仿宋"/>
          <w:spacing w:val="-4"/>
          <w:kern w:val="0"/>
          <w:sz w:val="28"/>
          <w:szCs w:val="28"/>
        </w:rPr>
      </w:pPr>
      <w:r>
        <w:rPr>
          <w:rFonts w:hint="eastAsia" w:ascii="仿宋" w:hAnsi="仿宋" w:eastAsia="仿宋" w:cs="仿宋"/>
          <w:b/>
          <w:bCs/>
          <w:spacing w:val="-4"/>
          <w:kern w:val="0"/>
          <w:sz w:val="28"/>
          <w:szCs w:val="28"/>
        </w:rPr>
        <w:t>8.2</w:t>
      </w:r>
      <w:r>
        <w:rPr>
          <w:rFonts w:hint="eastAsia" w:ascii="仿宋" w:hAnsi="仿宋" w:eastAsia="仿宋" w:cs="仿宋"/>
          <w:spacing w:val="-4"/>
          <w:kern w:val="0"/>
          <w:sz w:val="28"/>
          <w:szCs w:val="28"/>
        </w:rPr>
        <w:t>承包人采购材料与工程设备</w:t>
      </w:r>
    </w:p>
    <w:p w14:paraId="147C776B">
      <w:pPr>
        <w:spacing w:line="360" w:lineRule="exact"/>
        <w:ind w:firstLine="544" w:firstLineChars="200"/>
        <w:rPr>
          <w:rFonts w:ascii="仿宋" w:hAnsi="仿宋" w:eastAsia="仿宋" w:cs="仿宋"/>
          <w:color w:val="FF0000"/>
          <w:spacing w:val="-4"/>
          <w:kern w:val="0"/>
          <w:sz w:val="28"/>
          <w:szCs w:val="28"/>
          <w:u w:val="single"/>
        </w:rPr>
      </w:pPr>
      <w:r>
        <w:rPr>
          <w:rFonts w:hint="eastAsia" w:ascii="仿宋" w:hAnsi="仿宋" w:eastAsia="仿宋" w:cs="仿宋"/>
          <w:spacing w:val="-4"/>
          <w:kern w:val="0"/>
          <w:sz w:val="28"/>
          <w:szCs w:val="28"/>
          <w:u w:val="single"/>
        </w:rPr>
        <w:t>承包人负责采购材料、工程设备的，应按照设计和有关标准要求采购，并提供产品合格证明及出厂证明，对材料、工程设备质量负责。承包人在采购相应材料前，应提前10天提供相关样品给监理人及发包人进行审定批准并封样后方可采购，否则，自行采购造成的相关损失由承包人负责，并且每发现一次，处以2万元的罚款。</w:t>
      </w:r>
      <w:r>
        <w:rPr>
          <w:rFonts w:hint="eastAsia" w:ascii="仿宋" w:hAnsi="仿宋" w:eastAsia="仿宋" w:cs="仿宋"/>
          <w:color w:val="FF0000"/>
          <w:spacing w:val="-4"/>
          <w:kern w:val="0"/>
          <w:sz w:val="28"/>
          <w:szCs w:val="28"/>
          <w:u w:val="single"/>
        </w:rPr>
        <w:t>甲方有权对乙方采购的材料进行验收，如发现材料与合同、留存样品等约定不符或存在质量问题，有权要求更换或退货，由此造成的损失由乙方自行负责。承包人须先完成样板房施工并经甲方验收后方可正式全面施工。</w:t>
      </w:r>
    </w:p>
    <w:p w14:paraId="0595928A">
      <w:pPr>
        <w:spacing w:line="360" w:lineRule="exact"/>
        <w:ind w:firstLine="544" w:firstLineChars="200"/>
        <w:rPr>
          <w:rFonts w:ascii="仿宋" w:hAnsi="仿宋" w:eastAsia="仿宋" w:cs="仿宋"/>
          <w:color w:val="FF0000"/>
          <w:spacing w:val="-4"/>
          <w:kern w:val="0"/>
          <w:sz w:val="28"/>
          <w:szCs w:val="28"/>
          <w:u w:val="single"/>
        </w:rPr>
      </w:pPr>
      <w:r>
        <w:rPr>
          <w:rFonts w:hint="eastAsia" w:ascii="仿宋" w:hAnsi="仿宋" w:eastAsia="仿宋" w:cs="仿宋"/>
          <w:color w:val="FF0000"/>
          <w:spacing w:val="-4"/>
          <w:kern w:val="0"/>
          <w:sz w:val="28"/>
          <w:szCs w:val="28"/>
          <w:u w:val="single"/>
        </w:rPr>
        <w:t>生活家具电器设备包括采购数量、规格等详细信息须在采购前报甲方批准并得到甲方正式书面指令方可订货。乙方单位不得私自一次性采购全部货物，必须按照招标人指定的分阶段计划进行采购，否则由此造成的损失由乙方自行负责；若采购实施周期过长（超过1.5年的），甲方有权要求乙方进行甩项结算，乙方不能因此提出任何异议或要求赔偿损失；在乙方甩项结算后，甲方有权另行招标采购剩余货物，乙方不得对此提出任何异议或要求赔偿损失。</w:t>
      </w:r>
    </w:p>
    <w:bookmarkEnd w:id="173"/>
    <w:bookmarkEnd w:id="174"/>
    <w:bookmarkEnd w:id="175"/>
    <w:bookmarkEnd w:id="176"/>
    <w:bookmarkEnd w:id="177"/>
    <w:bookmarkEnd w:id="178"/>
    <w:bookmarkEnd w:id="179"/>
    <w:bookmarkEnd w:id="180"/>
    <w:bookmarkEnd w:id="181"/>
    <w:bookmarkEnd w:id="182"/>
    <w:p w14:paraId="1C423FBD">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8</w:t>
      </w:r>
      <w:bookmarkStart w:id="233" w:name="_Toc296347166"/>
      <w:bookmarkStart w:id="234" w:name="_Toc280868654"/>
      <w:bookmarkStart w:id="235" w:name="_Toc312678019"/>
      <w:bookmarkStart w:id="236" w:name="_Toc297123527"/>
      <w:bookmarkStart w:id="237" w:name="_Toc312677493"/>
      <w:bookmarkStart w:id="238" w:name="_Toc297120467"/>
      <w:bookmarkStart w:id="239" w:name="_Toc296944506"/>
      <w:bookmarkStart w:id="240" w:name="_Toc303539136"/>
      <w:bookmarkStart w:id="241" w:name="_Toc296346668"/>
      <w:bookmarkStart w:id="242" w:name="_Toc300934979"/>
      <w:bookmarkStart w:id="243" w:name="_Toc297216186"/>
      <w:bookmarkStart w:id="244" w:name="_Toc292559372"/>
      <w:bookmarkStart w:id="245" w:name="_Toc304295556"/>
      <w:bookmarkStart w:id="246" w:name="_Toc296503167"/>
      <w:bookmarkStart w:id="247" w:name="_Toc296891207"/>
      <w:bookmarkStart w:id="248" w:name="_Toc296890995"/>
      <w:bookmarkStart w:id="249" w:name="_Toc292559877"/>
      <w:bookmarkStart w:id="250" w:name="_Toc297048353"/>
      <w:bookmarkStart w:id="251" w:name="_Toc280868655"/>
      <w:bookmarkStart w:id="252" w:name="_Toc267251424"/>
      <w:bookmarkStart w:id="253" w:name="_Toc280868656"/>
      <w:r>
        <w:rPr>
          <w:rFonts w:hint="eastAsia" w:ascii="仿宋" w:hAnsi="仿宋" w:eastAsia="仿宋" w:cs="仿宋"/>
          <w:b/>
          <w:bCs/>
          <w:sz w:val="28"/>
          <w:szCs w:val="28"/>
        </w:rPr>
        <w:t>.4</w:t>
      </w:r>
      <w:r>
        <w:rPr>
          <w:rFonts w:hint="eastAsia" w:ascii="仿宋" w:hAnsi="仿宋" w:eastAsia="仿宋" w:cs="仿宋"/>
          <w:sz w:val="28"/>
          <w:szCs w:val="28"/>
        </w:rPr>
        <w:t>材料与工程设备的保管与使用</w:t>
      </w:r>
    </w:p>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14:paraId="3AA28EB6">
      <w:pPr>
        <w:spacing w:line="360" w:lineRule="exact"/>
        <w:ind w:firstLine="562" w:firstLineChars="200"/>
        <w:rPr>
          <w:rFonts w:ascii="仿宋" w:hAnsi="仿宋" w:eastAsia="仿宋" w:cs="仿宋"/>
          <w:color w:val="FF0000"/>
          <w:sz w:val="28"/>
          <w:szCs w:val="28"/>
          <w:u w:val="single"/>
        </w:rPr>
      </w:pPr>
      <w:r>
        <w:rPr>
          <w:rFonts w:hint="eastAsia" w:ascii="仿宋" w:hAnsi="仿宋" w:eastAsia="仿宋" w:cs="仿宋"/>
          <w:b/>
          <w:sz w:val="28"/>
          <w:szCs w:val="28"/>
        </w:rPr>
        <w:t>8</w:t>
      </w:r>
      <w:bookmarkStart w:id="254" w:name="_Toc292559878"/>
      <w:bookmarkStart w:id="255" w:name="_Toc292559373"/>
      <w:bookmarkStart w:id="256" w:name="_Toc296503168"/>
      <w:bookmarkStart w:id="257" w:name="_Toc297048354"/>
      <w:bookmarkStart w:id="258" w:name="_Toc303539137"/>
      <w:bookmarkStart w:id="259" w:name="_Toc297123528"/>
      <w:bookmarkStart w:id="260" w:name="_Toc297216187"/>
      <w:bookmarkStart w:id="261" w:name="_Toc296891208"/>
      <w:bookmarkStart w:id="262" w:name="_Toc304295557"/>
      <w:bookmarkStart w:id="263" w:name="_Toc296890996"/>
      <w:bookmarkStart w:id="264" w:name="_Toc312677494"/>
      <w:bookmarkStart w:id="265" w:name="_Toc318581173"/>
      <w:bookmarkStart w:id="266" w:name="_Toc296944507"/>
      <w:bookmarkStart w:id="267" w:name="_Toc300934980"/>
      <w:bookmarkStart w:id="268" w:name="_Toc297120468"/>
      <w:bookmarkStart w:id="269" w:name="_Toc296347167"/>
      <w:bookmarkStart w:id="270" w:name="_Toc296346669"/>
      <w:bookmarkStart w:id="271" w:name="_Toc312678020"/>
      <w:r>
        <w:rPr>
          <w:rFonts w:hint="eastAsia" w:ascii="仿宋" w:hAnsi="仿宋" w:eastAsia="仿宋" w:cs="仿宋"/>
          <w:b/>
          <w:sz w:val="28"/>
          <w:szCs w:val="28"/>
        </w:rPr>
        <w:t>.4.1</w:t>
      </w:r>
      <w:r>
        <w:rPr>
          <w:rFonts w:hint="eastAsia" w:ascii="仿宋" w:hAnsi="仿宋" w:eastAsia="仿宋" w:cs="仿宋"/>
          <w:sz w:val="28"/>
          <w:szCs w:val="28"/>
        </w:rPr>
        <w:t>发包人供应的材料设备的保管费用的承担：</w:t>
      </w:r>
      <w:r>
        <w:rPr>
          <w:rFonts w:hint="eastAsia" w:ascii="Arial" w:hAnsi="Arial" w:eastAsia="Arial" w:cs="Arial"/>
          <w:color w:val="FF0000"/>
          <w:sz w:val="24"/>
          <w:u w:val="single"/>
          <w:shd w:val="clear" w:color="auto" w:fill="FFFFFF"/>
        </w:rPr>
        <w:t>在</w:t>
      </w:r>
      <w:r>
        <w:rPr>
          <w:rFonts w:hint="eastAsia" w:ascii="仿宋" w:hAnsi="仿宋" w:eastAsia="仿宋" w:cs="仿宋"/>
          <w:color w:val="FF0000"/>
          <w:sz w:val="28"/>
          <w:szCs w:val="28"/>
          <w:u w:val="single"/>
        </w:rPr>
        <w:t>施工过程中，乙方应妥善保管材料，避免材料丢失、损坏或被盗。如果因乙方保管不善导致材料损失，应由乙方承担赔偿责任。</w:t>
      </w:r>
      <w:bookmarkEnd w:id="254"/>
      <w:bookmarkEnd w:id="255"/>
    </w:p>
    <w:p w14:paraId="278ED9F0">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8.6</w:t>
      </w:r>
      <w:r>
        <w:rPr>
          <w:rFonts w:hint="eastAsia" w:ascii="仿宋" w:hAnsi="仿宋" w:eastAsia="仿宋" w:cs="仿宋"/>
          <w:sz w:val="28"/>
          <w:szCs w:val="28"/>
        </w:rPr>
        <w:t>样品</w:t>
      </w:r>
    </w:p>
    <w:p w14:paraId="484A6A57">
      <w:pPr>
        <w:autoSpaceDE w:val="0"/>
        <w:autoSpaceDN w:val="0"/>
        <w:adjustRightInd w:val="0"/>
        <w:spacing w:line="360" w:lineRule="exact"/>
        <w:ind w:firstLine="562" w:firstLineChars="200"/>
        <w:rPr>
          <w:rFonts w:ascii="仿宋" w:hAnsi="仿宋" w:eastAsia="仿宋" w:cs="仿宋"/>
          <w:kern w:val="0"/>
          <w:sz w:val="28"/>
          <w:szCs w:val="28"/>
        </w:rPr>
      </w:pPr>
      <w:r>
        <w:rPr>
          <w:rFonts w:hint="eastAsia" w:ascii="仿宋" w:hAnsi="仿宋" w:eastAsia="仿宋" w:cs="仿宋"/>
          <w:b/>
          <w:kern w:val="0"/>
          <w:sz w:val="28"/>
          <w:szCs w:val="28"/>
        </w:rPr>
        <w:t>8.6.1</w:t>
      </w:r>
      <w:r>
        <w:rPr>
          <w:rFonts w:hint="eastAsia" w:ascii="仿宋" w:hAnsi="仿宋" w:eastAsia="仿宋" w:cs="仿宋"/>
          <w:kern w:val="0"/>
          <w:sz w:val="28"/>
          <w:szCs w:val="28"/>
        </w:rPr>
        <w:t>样品的报送与封存</w:t>
      </w:r>
    </w:p>
    <w:p w14:paraId="2A17EA0F">
      <w:pPr>
        <w:autoSpaceDE w:val="0"/>
        <w:autoSpaceDN w:val="0"/>
        <w:adjustRightInd w:val="0"/>
        <w:spacing w:line="360" w:lineRule="exact"/>
        <w:ind w:firstLine="560" w:firstLineChars="200"/>
        <w:rPr>
          <w:rFonts w:ascii="仿宋" w:hAnsi="仿宋" w:eastAsia="仿宋" w:cs="仿宋"/>
          <w:kern w:val="0"/>
          <w:sz w:val="28"/>
          <w:szCs w:val="28"/>
        </w:rPr>
      </w:pPr>
      <w:r>
        <w:rPr>
          <w:rFonts w:hint="eastAsia" w:ascii="仿宋" w:hAnsi="仿宋" w:eastAsia="仿宋" w:cs="仿宋"/>
          <w:sz w:val="28"/>
          <w:szCs w:val="28"/>
        </w:rPr>
        <w:t>需要承包人报送样品的材料或工程设备，样品的种类、名称、规格、数量要求：</w:t>
      </w:r>
      <w:r>
        <w:rPr>
          <w:rFonts w:hint="eastAsia" w:ascii="仿宋" w:hAnsi="仿宋" w:eastAsia="仿宋" w:cs="仿宋"/>
          <w:color w:val="FF0000"/>
          <w:sz w:val="28"/>
          <w:szCs w:val="28"/>
          <w:u w:val="single"/>
        </w:rPr>
        <w:t>对应用于实体的主要材料要求定板、封板、看样订板、样板引路</w:t>
      </w:r>
      <w:r>
        <w:rPr>
          <w:rFonts w:hint="eastAsia" w:ascii="仿宋" w:hAnsi="仿宋" w:eastAsia="仿宋" w:cs="仿宋"/>
          <w:sz w:val="28"/>
          <w:szCs w:val="28"/>
        </w:rPr>
        <w:t>。</w:t>
      </w:r>
    </w:p>
    <w:p w14:paraId="71AC665D">
      <w:pPr>
        <w:spacing w:line="3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8.8</w:t>
      </w:r>
      <w:r>
        <w:rPr>
          <w:rFonts w:hint="eastAsia" w:ascii="仿宋" w:hAnsi="仿宋" w:eastAsia="仿宋" w:cs="仿宋"/>
          <w:sz w:val="28"/>
          <w:szCs w:val="28"/>
        </w:rPr>
        <w:t>施工设备和临时设施</w:t>
      </w:r>
    </w:p>
    <w:p w14:paraId="03FF3A59">
      <w:pPr>
        <w:autoSpaceDE w:val="0"/>
        <w:autoSpaceDN w:val="0"/>
        <w:adjustRightInd w:val="0"/>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8.8.1</w:t>
      </w:r>
      <w:r>
        <w:rPr>
          <w:rFonts w:hint="eastAsia" w:ascii="仿宋" w:hAnsi="仿宋" w:eastAsia="仿宋" w:cs="仿宋"/>
          <w:sz w:val="28"/>
          <w:szCs w:val="28"/>
        </w:rPr>
        <w:t>承包人提供的施工设备和临时设施</w:t>
      </w:r>
    </w:p>
    <w:p w14:paraId="40619D4E">
      <w:pPr>
        <w:autoSpaceDE w:val="0"/>
        <w:autoSpaceDN w:val="0"/>
        <w:adjustRightInd w:val="0"/>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关于修建临时设施费用承担的约定：</w:t>
      </w:r>
      <w:r>
        <w:rPr>
          <w:rFonts w:hint="eastAsia" w:ascii="仿宋" w:hAnsi="仿宋" w:eastAsia="仿宋" w:cs="仿宋"/>
          <w:sz w:val="28"/>
          <w:szCs w:val="28"/>
          <w:u w:val="single"/>
        </w:rPr>
        <w:t>承包人承担</w:t>
      </w:r>
      <w:r>
        <w:rPr>
          <w:rFonts w:hint="eastAsia" w:ascii="仿宋" w:hAnsi="仿宋" w:eastAsia="仿宋" w:cs="仿宋"/>
          <w:sz w:val="28"/>
          <w:szCs w:val="28"/>
        </w:rPr>
        <w:t>。</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Start w:id="272" w:name="_Toc351203641"/>
    </w:p>
    <w:p w14:paraId="5AC67F0E">
      <w:pPr>
        <w:autoSpaceDE w:val="0"/>
        <w:autoSpaceDN w:val="0"/>
        <w:adjustRightInd w:val="0"/>
        <w:spacing w:line="360" w:lineRule="exact"/>
        <w:ind w:firstLine="562" w:firstLineChars="200"/>
        <w:rPr>
          <w:rFonts w:ascii="仿宋" w:hAnsi="仿宋" w:eastAsia="仿宋" w:cs="仿宋"/>
          <w:b/>
          <w:sz w:val="28"/>
          <w:szCs w:val="28"/>
        </w:rPr>
      </w:pPr>
      <w:r>
        <w:rPr>
          <w:rFonts w:hint="eastAsia" w:ascii="仿宋" w:hAnsi="仿宋" w:eastAsia="仿宋" w:cs="仿宋"/>
          <w:b/>
          <w:sz w:val="28"/>
          <w:szCs w:val="28"/>
        </w:rPr>
        <w:t>9</w:t>
      </w:r>
      <w:bookmarkEnd w:id="251"/>
      <w:bookmarkEnd w:id="252"/>
      <w:bookmarkEnd w:id="253"/>
      <w:bookmarkStart w:id="273" w:name="_Toc312678021"/>
      <w:bookmarkStart w:id="274" w:name="_Toc297216192"/>
      <w:bookmarkStart w:id="275" w:name="_Toc312677495"/>
      <w:bookmarkStart w:id="276" w:name="_Toc297123533"/>
      <w:bookmarkStart w:id="277" w:name="_Toc304295559"/>
      <w:bookmarkStart w:id="278" w:name="_Toc303539139"/>
      <w:bookmarkStart w:id="279" w:name="_Toc300934982"/>
      <w:r>
        <w:rPr>
          <w:rFonts w:hint="eastAsia" w:ascii="仿宋" w:hAnsi="仿宋" w:eastAsia="仿宋" w:cs="仿宋"/>
          <w:b/>
          <w:sz w:val="28"/>
          <w:szCs w:val="28"/>
        </w:rPr>
        <w:t>.试验与检验</w:t>
      </w:r>
      <w:bookmarkEnd w:id="272"/>
      <w:bookmarkEnd w:id="273"/>
      <w:bookmarkEnd w:id="274"/>
      <w:bookmarkEnd w:id="275"/>
      <w:bookmarkEnd w:id="276"/>
      <w:bookmarkEnd w:id="277"/>
      <w:bookmarkEnd w:id="278"/>
      <w:bookmarkEnd w:id="279"/>
    </w:p>
    <w:p w14:paraId="40758E89">
      <w:pPr>
        <w:autoSpaceDE w:val="0"/>
        <w:autoSpaceDN w:val="0"/>
        <w:adjustRightInd w:val="0"/>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9.1</w:t>
      </w:r>
      <w:r>
        <w:rPr>
          <w:rFonts w:hint="eastAsia" w:ascii="仿宋" w:hAnsi="仿宋" w:eastAsia="仿宋" w:cs="仿宋"/>
          <w:sz w:val="28"/>
          <w:szCs w:val="28"/>
        </w:rPr>
        <w:t>试验设备与试验人员</w:t>
      </w:r>
    </w:p>
    <w:p w14:paraId="3F08C286">
      <w:pPr>
        <w:autoSpaceDE w:val="0"/>
        <w:autoSpaceDN w:val="0"/>
        <w:adjustRightInd w:val="0"/>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9.1.2</w:t>
      </w:r>
      <w:r>
        <w:rPr>
          <w:rFonts w:hint="eastAsia" w:ascii="仿宋" w:hAnsi="仿宋" w:eastAsia="仿宋" w:cs="仿宋"/>
          <w:sz w:val="28"/>
          <w:szCs w:val="28"/>
        </w:rPr>
        <w:t>试验设备</w:t>
      </w:r>
    </w:p>
    <w:p w14:paraId="6FB0D7A0">
      <w:pPr>
        <w:autoSpaceDE w:val="0"/>
        <w:autoSpaceDN w:val="0"/>
        <w:adjustRightInd w:val="0"/>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施工现场需要配置的试验场所：</w:t>
      </w:r>
      <w:r>
        <w:rPr>
          <w:rFonts w:hint="eastAsia" w:ascii="仿宋" w:hAnsi="仿宋" w:eastAsia="仿宋" w:cs="仿宋"/>
          <w:sz w:val="28"/>
          <w:szCs w:val="28"/>
          <w:u w:val="single"/>
        </w:rPr>
        <w:t>/</w:t>
      </w:r>
      <w:r>
        <w:rPr>
          <w:rFonts w:hint="eastAsia" w:ascii="仿宋" w:hAnsi="仿宋" w:eastAsia="仿宋" w:cs="仿宋"/>
          <w:sz w:val="28"/>
          <w:szCs w:val="28"/>
        </w:rPr>
        <w:t>。</w:t>
      </w:r>
    </w:p>
    <w:p w14:paraId="6E28FF5B">
      <w:pPr>
        <w:autoSpaceDE w:val="0"/>
        <w:autoSpaceDN w:val="0"/>
        <w:adjustRightInd w:val="0"/>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施工现场需要配备的试验设备：</w:t>
      </w:r>
      <w:r>
        <w:rPr>
          <w:rFonts w:hint="eastAsia" w:ascii="仿宋" w:hAnsi="仿宋" w:eastAsia="仿宋" w:cs="仿宋"/>
          <w:sz w:val="28"/>
          <w:szCs w:val="28"/>
          <w:u w:val="single"/>
        </w:rPr>
        <w:t>/</w:t>
      </w:r>
      <w:r>
        <w:rPr>
          <w:rFonts w:hint="eastAsia" w:ascii="仿宋" w:hAnsi="仿宋" w:eastAsia="仿宋" w:cs="仿宋"/>
          <w:sz w:val="28"/>
          <w:szCs w:val="28"/>
        </w:rPr>
        <w:t>。</w:t>
      </w:r>
    </w:p>
    <w:p w14:paraId="1B1D14B7">
      <w:pPr>
        <w:autoSpaceDE w:val="0"/>
        <w:autoSpaceDN w:val="0"/>
        <w:adjustRightInd w:val="0"/>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施工现场需要具备的其他试验条件：</w:t>
      </w:r>
      <w:r>
        <w:rPr>
          <w:rFonts w:hint="eastAsia" w:ascii="仿宋" w:hAnsi="仿宋" w:eastAsia="仿宋" w:cs="仿宋"/>
          <w:sz w:val="28"/>
          <w:szCs w:val="28"/>
          <w:u w:val="single"/>
        </w:rPr>
        <w:t>/</w:t>
      </w:r>
      <w:r>
        <w:rPr>
          <w:rFonts w:hint="eastAsia" w:ascii="仿宋" w:hAnsi="仿宋" w:eastAsia="仿宋" w:cs="仿宋"/>
          <w:sz w:val="28"/>
          <w:szCs w:val="28"/>
        </w:rPr>
        <w:t>。</w:t>
      </w:r>
    </w:p>
    <w:p w14:paraId="6BAD71D8">
      <w:pPr>
        <w:autoSpaceDE w:val="0"/>
        <w:autoSpaceDN w:val="0"/>
        <w:adjustRightInd w:val="0"/>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9.4</w:t>
      </w:r>
      <w:r>
        <w:rPr>
          <w:rFonts w:hint="eastAsia" w:ascii="仿宋" w:hAnsi="仿宋" w:eastAsia="仿宋" w:cs="仿宋"/>
          <w:sz w:val="28"/>
          <w:szCs w:val="28"/>
        </w:rPr>
        <w:t>现场工艺试验</w:t>
      </w:r>
    </w:p>
    <w:p w14:paraId="48021CB8">
      <w:pPr>
        <w:autoSpaceDE w:val="0"/>
        <w:autoSpaceDN w:val="0"/>
        <w:adjustRightInd w:val="0"/>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现场工艺试验的有关约定：</w:t>
      </w:r>
      <w:r>
        <w:rPr>
          <w:rFonts w:hint="eastAsia" w:ascii="仿宋" w:hAnsi="仿宋" w:eastAsia="仿宋" w:cs="仿宋"/>
          <w:sz w:val="28"/>
          <w:szCs w:val="28"/>
          <w:u w:val="single"/>
        </w:rPr>
        <w:t>/</w:t>
      </w:r>
      <w:r>
        <w:rPr>
          <w:rFonts w:hint="eastAsia" w:ascii="仿宋" w:hAnsi="仿宋" w:eastAsia="仿宋" w:cs="仿宋"/>
          <w:sz w:val="28"/>
          <w:szCs w:val="28"/>
        </w:rPr>
        <w:t>。</w:t>
      </w:r>
    </w:p>
    <w:p w14:paraId="7627B42C">
      <w:pPr>
        <w:autoSpaceDE w:val="0"/>
        <w:autoSpaceDN w:val="0"/>
        <w:adjustRightInd w:val="0"/>
        <w:spacing w:line="36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9.5</w:t>
      </w:r>
      <w:r>
        <w:rPr>
          <w:rFonts w:hint="eastAsia" w:ascii="仿宋" w:hAnsi="仿宋" w:eastAsia="仿宋" w:cs="仿宋"/>
          <w:sz w:val="28"/>
          <w:szCs w:val="28"/>
        </w:rPr>
        <w:t>试验与检验费用的约定：</w:t>
      </w:r>
      <w:r>
        <w:rPr>
          <w:rFonts w:hint="eastAsia" w:ascii="仿宋" w:hAnsi="仿宋" w:eastAsia="仿宋" w:cs="仿宋"/>
          <w:bCs/>
          <w:sz w:val="28"/>
          <w:szCs w:val="28"/>
          <w:u w:val="single"/>
        </w:rPr>
        <w:t>工程质量检测费用中原材料、外购成品、半成品及按规定频率进行自检的试验检测费用全部由承包人承担。承包人运到工地的原材料、施工设备、已完工程半成品、成品材料质量，必须及时进行自检、抽检、送检和验收，并提供合格的试验、检测和验收报告，否则，第一次发现，承包人应支付2000元违约金，第二次</w:t>
      </w:r>
      <w:r>
        <w:rPr>
          <w:rFonts w:hint="eastAsia" w:ascii="仿宋" w:hAnsi="仿宋" w:eastAsia="仿宋" w:cs="仿宋"/>
          <w:sz w:val="28"/>
          <w:szCs w:val="28"/>
          <w:u w:val="single"/>
        </w:rPr>
        <w:t>发包人或监理人约谈承包人领导并责令撤换项目经理或技术负责人，</w:t>
      </w:r>
      <w:r>
        <w:rPr>
          <w:rFonts w:hint="eastAsia" w:ascii="仿宋" w:hAnsi="仿宋" w:eastAsia="仿宋" w:cs="仿宋"/>
          <w:bCs/>
          <w:sz w:val="28"/>
          <w:szCs w:val="28"/>
          <w:u w:val="single"/>
        </w:rPr>
        <w:t>承包人应支付5000元违约金，第三次</w:t>
      </w:r>
      <w:r>
        <w:rPr>
          <w:rFonts w:hint="eastAsia" w:ascii="仿宋" w:hAnsi="仿宋" w:eastAsia="仿宋" w:cs="仿宋"/>
          <w:sz w:val="28"/>
          <w:szCs w:val="28"/>
          <w:u w:val="single"/>
        </w:rPr>
        <w:t>发包人约见承包人法定代表人并责令及时整改，</w:t>
      </w:r>
      <w:r>
        <w:rPr>
          <w:rFonts w:hint="eastAsia" w:ascii="仿宋" w:hAnsi="仿宋" w:eastAsia="仿宋" w:cs="仿宋"/>
          <w:bCs/>
          <w:sz w:val="28"/>
          <w:szCs w:val="28"/>
          <w:u w:val="single"/>
        </w:rPr>
        <w:t>承包人应支付10000元违约金。</w:t>
      </w:r>
      <w:r>
        <w:rPr>
          <w:rFonts w:hint="eastAsia" w:ascii="仿宋" w:hAnsi="仿宋" w:eastAsia="仿宋" w:cs="仿宋"/>
          <w:sz w:val="28"/>
          <w:szCs w:val="28"/>
          <w:u w:val="single"/>
        </w:rPr>
        <w:t>造成的一切后果由承包人承担</w:t>
      </w:r>
      <w:r>
        <w:rPr>
          <w:rFonts w:hint="eastAsia" w:ascii="仿宋" w:hAnsi="仿宋" w:eastAsia="仿宋" w:cs="仿宋"/>
          <w:sz w:val="28"/>
          <w:szCs w:val="28"/>
        </w:rPr>
        <w:t>。</w:t>
      </w:r>
    </w:p>
    <w:p w14:paraId="28A40F2C">
      <w:pPr>
        <w:autoSpaceDE w:val="0"/>
        <w:autoSpaceDN w:val="0"/>
        <w:adjustRightInd w:val="0"/>
        <w:spacing w:line="360" w:lineRule="exact"/>
        <w:ind w:firstLine="562" w:firstLineChars="200"/>
        <w:jc w:val="left"/>
        <w:rPr>
          <w:rFonts w:ascii="仿宋" w:hAnsi="仿宋" w:eastAsia="仿宋" w:cs="仿宋"/>
          <w:sz w:val="28"/>
          <w:szCs w:val="28"/>
        </w:rPr>
      </w:pPr>
      <w:r>
        <w:rPr>
          <w:rFonts w:hint="eastAsia" w:ascii="仿宋" w:hAnsi="仿宋" w:eastAsia="仿宋" w:cs="仿宋"/>
          <w:b/>
          <w:bCs/>
          <w:sz w:val="28"/>
          <w:szCs w:val="28"/>
        </w:rPr>
        <w:t>9.6</w:t>
      </w:r>
      <w:r>
        <w:rPr>
          <w:rFonts w:hint="eastAsia" w:ascii="仿宋" w:hAnsi="仿宋" w:eastAsia="仿宋" w:cs="仿宋"/>
          <w:sz w:val="28"/>
          <w:szCs w:val="28"/>
        </w:rPr>
        <w:t>工程试验与检验需委托第三方检测机构进行试验与检验的，由承包人与发包人协商确定第三方检测机构。</w:t>
      </w:r>
    </w:p>
    <w:p w14:paraId="2E149BB5">
      <w:pPr>
        <w:autoSpaceDE w:val="0"/>
        <w:autoSpaceDN w:val="0"/>
        <w:adjustRightInd w:val="0"/>
        <w:spacing w:line="360" w:lineRule="exact"/>
        <w:ind w:firstLine="562" w:firstLineChars="200"/>
        <w:jc w:val="left"/>
        <w:rPr>
          <w:rFonts w:ascii="仿宋" w:hAnsi="仿宋" w:eastAsia="仿宋" w:cs="仿宋"/>
          <w:b/>
          <w:sz w:val="28"/>
          <w:szCs w:val="28"/>
          <w:u w:val="single"/>
        </w:rPr>
      </w:pPr>
      <w:r>
        <w:rPr>
          <w:rFonts w:hint="eastAsia" w:ascii="仿宋" w:hAnsi="仿宋" w:eastAsia="仿宋" w:cs="仿宋"/>
          <w:b/>
          <w:sz w:val="28"/>
          <w:szCs w:val="28"/>
        </w:rPr>
        <w:t>1</w:t>
      </w:r>
      <w:bookmarkEnd w:id="93"/>
      <w:bookmarkEnd w:id="94"/>
      <w:bookmarkEnd w:id="95"/>
      <w:bookmarkEnd w:id="96"/>
      <w:bookmarkEnd w:id="97"/>
      <w:bookmarkEnd w:id="98"/>
      <w:bookmarkEnd w:id="99"/>
      <w:bookmarkEnd w:id="100"/>
      <w:bookmarkEnd w:id="101"/>
      <w:bookmarkEnd w:id="102"/>
      <w:bookmarkEnd w:id="103"/>
      <w:bookmarkEnd w:id="104"/>
      <w:bookmarkStart w:id="280" w:name="_Toc297123540"/>
      <w:bookmarkStart w:id="281" w:name="_Toc296503193"/>
      <w:bookmarkStart w:id="282" w:name="_Toc304295566"/>
      <w:bookmarkStart w:id="283" w:name="_Toc296346694"/>
      <w:bookmarkStart w:id="284" w:name="_Toc297216199"/>
      <w:bookmarkStart w:id="285" w:name="_Toc296944532"/>
      <w:bookmarkStart w:id="286" w:name="_Toc296891233"/>
      <w:bookmarkStart w:id="287" w:name="_Toc297120493"/>
      <w:bookmarkStart w:id="288" w:name="_Toc296891021"/>
      <w:bookmarkStart w:id="289" w:name="_Toc303539146"/>
      <w:bookmarkStart w:id="290" w:name="_Toc292559398"/>
      <w:bookmarkStart w:id="291" w:name="_Toc296347192"/>
      <w:bookmarkStart w:id="292" w:name="_Toc292559903"/>
      <w:bookmarkStart w:id="293" w:name="_Toc300934989"/>
      <w:bookmarkStart w:id="294" w:name="_Toc297048379"/>
      <w:bookmarkStart w:id="295" w:name="_Toc312678025"/>
      <w:bookmarkStart w:id="296" w:name="_Toc312677499"/>
      <w:bookmarkStart w:id="297" w:name="_Toc267251439"/>
      <w:bookmarkStart w:id="298" w:name="_Toc267251441"/>
      <w:bookmarkStart w:id="299" w:name="_Toc267251437"/>
      <w:bookmarkStart w:id="300" w:name="_Toc267251435"/>
      <w:bookmarkStart w:id="301" w:name="_Toc267251433"/>
      <w:bookmarkStart w:id="302" w:name="_Toc267251440"/>
      <w:bookmarkStart w:id="303" w:name="_Toc267251442"/>
      <w:r>
        <w:rPr>
          <w:rFonts w:hint="eastAsia" w:ascii="仿宋" w:hAnsi="仿宋" w:eastAsia="仿宋" w:cs="仿宋"/>
          <w:b/>
          <w:sz w:val="28"/>
          <w:szCs w:val="28"/>
        </w:rPr>
        <w:t>0.变更</w:t>
      </w:r>
      <w:bookmarkEnd w:id="105"/>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bookmarkEnd w:id="295"/>
    <w:bookmarkEnd w:id="296"/>
    <w:p w14:paraId="25EE07BA">
      <w:pPr>
        <w:spacing w:line="360" w:lineRule="exact"/>
        <w:ind w:firstLine="560" w:firstLineChars="200"/>
        <w:rPr>
          <w:rFonts w:ascii="仿宋" w:hAnsi="仿宋" w:eastAsia="仿宋" w:cs="仿宋"/>
          <w:sz w:val="28"/>
          <w:szCs w:val="28"/>
        </w:rPr>
      </w:pPr>
      <w:bookmarkStart w:id="304" w:name="_Toc304295567"/>
      <w:bookmarkStart w:id="305" w:name="_Toc312677500"/>
      <w:bookmarkStart w:id="306" w:name="_Toc292559399"/>
      <w:bookmarkStart w:id="307" w:name="_Toc312678026"/>
      <w:bookmarkStart w:id="308" w:name="_Toc292559904"/>
      <w:bookmarkStart w:id="309" w:name="_Toc296503194"/>
      <w:bookmarkStart w:id="310" w:name="_Toc296346695"/>
      <w:bookmarkStart w:id="311" w:name="_Toc296944533"/>
      <w:bookmarkStart w:id="312" w:name="_Toc296347193"/>
      <w:bookmarkStart w:id="313" w:name="_Toc296891234"/>
      <w:bookmarkStart w:id="314" w:name="_Toc300934990"/>
      <w:bookmarkStart w:id="315" w:name="_Toc297123541"/>
      <w:bookmarkStart w:id="316" w:name="_Toc303539147"/>
      <w:bookmarkStart w:id="317" w:name="_Toc297048380"/>
      <w:bookmarkStart w:id="318" w:name="_Toc296891022"/>
      <w:bookmarkStart w:id="319" w:name="_Toc297120494"/>
      <w:bookmarkStart w:id="320" w:name="_Toc297216200"/>
      <w:r>
        <w:rPr>
          <w:rFonts w:hint="eastAsia" w:ascii="仿宋" w:hAnsi="仿宋" w:eastAsia="仿宋" w:cs="仿宋"/>
          <w:sz w:val="28"/>
          <w:szCs w:val="28"/>
        </w:rPr>
        <w:t>若非设计调整，结算超过中标金额的按中标金额包干结算，反之以实际金额结算。</w:t>
      </w:r>
    </w:p>
    <w:p w14:paraId="4031BC13">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若因规划设计调整等不可预见因素导致造价增加，增加金额超过中标金额的5%及以上时，由发包人另行委托施工单位施工。</w:t>
      </w:r>
    </w:p>
    <w:p w14:paraId="24CA9504">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Start w:id="321" w:name="_Toc300934993"/>
      <w:bookmarkStart w:id="322" w:name="_Toc292559907"/>
      <w:bookmarkStart w:id="323" w:name="_Toc297123544"/>
      <w:bookmarkStart w:id="324" w:name="_Toc303539150"/>
      <w:bookmarkStart w:id="325" w:name="_Toc296503197"/>
      <w:bookmarkStart w:id="326" w:name="_Toc296347196"/>
      <w:bookmarkStart w:id="327" w:name="_Toc297120497"/>
      <w:bookmarkStart w:id="328" w:name="_Toc297216203"/>
      <w:bookmarkStart w:id="329" w:name="_Toc292559402"/>
      <w:bookmarkStart w:id="330" w:name="_Toc296944536"/>
      <w:bookmarkStart w:id="331" w:name="_Toc297048383"/>
      <w:bookmarkStart w:id="332" w:name="_Toc296891025"/>
      <w:bookmarkStart w:id="333" w:name="_Toc296891237"/>
      <w:bookmarkStart w:id="334" w:name="_Toc296346698"/>
      <w:bookmarkStart w:id="335" w:name="_Toc312677503"/>
      <w:bookmarkStart w:id="336" w:name="_Toc312678029"/>
      <w:bookmarkStart w:id="337" w:name="_Toc304295570"/>
      <w:r>
        <w:rPr>
          <w:rFonts w:hint="eastAsia" w:ascii="仿宋" w:hAnsi="仿宋" w:eastAsia="仿宋" w:cs="仿宋"/>
          <w:b/>
          <w:bCs/>
          <w:sz w:val="28"/>
          <w:szCs w:val="28"/>
        </w:rPr>
        <w:t>0.5</w:t>
      </w:r>
      <w:r>
        <w:rPr>
          <w:rFonts w:hint="eastAsia" w:ascii="仿宋" w:hAnsi="仿宋" w:eastAsia="仿宋" w:cs="仿宋"/>
          <w:sz w:val="28"/>
          <w:szCs w:val="28"/>
        </w:rPr>
        <w:t>承</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Start w:id="338" w:name="_Toc296891031"/>
      <w:bookmarkStart w:id="339" w:name="_Toc296347202"/>
      <w:bookmarkStart w:id="340" w:name="_Toc292559913"/>
      <w:bookmarkStart w:id="341" w:name="_Toc303539151"/>
      <w:bookmarkStart w:id="342" w:name="_Toc292559408"/>
      <w:bookmarkStart w:id="343" w:name="_Toc296503203"/>
      <w:bookmarkStart w:id="344" w:name="_Toc297120503"/>
      <w:bookmarkStart w:id="345" w:name="_Toc300934994"/>
      <w:bookmarkStart w:id="346" w:name="_Toc296346704"/>
      <w:bookmarkStart w:id="347" w:name="_Toc296944542"/>
      <w:bookmarkStart w:id="348" w:name="_Toc296891243"/>
      <w:bookmarkStart w:id="349" w:name="_Toc297048389"/>
      <w:bookmarkStart w:id="350" w:name="_Toc297123545"/>
      <w:bookmarkStart w:id="351" w:name="_Toc297216204"/>
      <w:r>
        <w:rPr>
          <w:rFonts w:hint="eastAsia" w:ascii="仿宋" w:hAnsi="仿宋" w:eastAsia="仿宋" w:cs="仿宋"/>
          <w:sz w:val="28"/>
          <w:szCs w:val="28"/>
        </w:rPr>
        <w:t>包人的合理化建议</w:t>
      </w:r>
    </w:p>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14:paraId="22984AC3">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监理人审查承包人合理化建议的期限：</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2D4D587B">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发包人审批承包人合理化建议的期限：</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6367208D">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承</w:t>
      </w:r>
      <w:bookmarkStart w:id="352" w:name="_Toc296346705"/>
      <w:bookmarkStart w:id="353" w:name="_Toc303539152"/>
      <w:bookmarkStart w:id="354" w:name="_Toc296347203"/>
      <w:bookmarkStart w:id="355" w:name="_Toc297048390"/>
      <w:bookmarkStart w:id="356" w:name="_Toc297120504"/>
      <w:bookmarkStart w:id="357" w:name="_Toc312678030"/>
      <w:bookmarkStart w:id="358" w:name="_Toc296891244"/>
      <w:bookmarkStart w:id="359" w:name="_Toc297123546"/>
      <w:bookmarkStart w:id="360" w:name="_Toc297216205"/>
      <w:bookmarkStart w:id="361" w:name="_Toc304295571"/>
      <w:bookmarkStart w:id="362" w:name="_Toc300934995"/>
      <w:bookmarkStart w:id="363" w:name="_Toc296503204"/>
      <w:bookmarkStart w:id="364" w:name="_Toc318581175"/>
      <w:bookmarkStart w:id="365" w:name="_Toc292559914"/>
      <w:bookmarkStart w:id="366" w:name="_Toc296944543"/>
      <w:bookmarkStart w:id="367" w:name="_Toc292559409"/>
      <w:bookmarkStart w:id="368" w:name="_Toc312677504"/>
      <w:bookmarkStart w:id="369" w:name="_Toc296891032"/>
      <w:r>
        <w:rPr>
          <w:rFonts w:hint="eastAsia" w:ascii="仿宋" w:hAnsi="仿宋" w:eastAsia="仿宋" w:cs="仿宋"/>
          <w:sz w:val="28"/>
          <w:szCs w:val="28"/>
        </w:rPr>
        <w:t>包人提出的合理化建议降低了合同价格或者提高了工程经济效益的奖励的方法和金额为：</w:t>
      </w:r>
      <w:r>
        <w:rPr>
          <w:rFonts w:hint="eastAsia" w:ascii="仿宋" w:hAnsi="仿宋" w:eastAsia="仿宋" w:cs="仿宋"/>
          <w:sz w:val="28"/>
          <w:szCs w:val="28"/>
          <w:u w:val="single"/>
        </w:rPr>
        <w:t>/</w:t>
      </w:r>
      <w:r>
        <w:rPr>
          <w:rFonts w:hint="eastAsia" w:ascii="仿宋" w:hAnsi="仿宋" w:eastAsia="仿宋" w:cs="仿宋"/>
          <w:sz w:val="28"/>
          <w:szCs w:val="28"/>
        </w:rPr>
        <w:t>。</w:t>
      </w:r>
    </w:p>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14:paraId="0740C408">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w:t>
      </w:r>
      <w:bookmarkStart w:id="370" w:name="_Toc292559909"/>
      <w:bookmarkStart w:id="371" w:name="_Toc296944538"/>
      <w:bookmarkStart w:id="372" w:name="_Toc296503199"/>
      <w:bookmarkStart w:id="373" w:name="_Toc297120499"/>
      <w:bookmarkStart w:id="374" w:name="_Toc300934997"/>
      <w:bookmarkStart w:id="375" w:name="_Toc296891239"/>
      <w:bookmarkStart w:id="376" w:name="_Toc292559404"/>
      <w:bookmarkStart w:id="377" w:name="_Toc303539154"/>
      <w:bookmarkStart w:id="378" w:name="_Toc304295574"/>
      <w:bookmarkStart w:id="379" w:name="_Toc297048385"/>
      <w:bookmarkStart w:id="380" w:name="_Toc296347198"/>
      <w:bookmarkStart w:id="381" w:name="_Toc312678033"/>
      <w:bookmarkStart w:id="382" w:name="_Toc312677507"/>
      <w:bookmarkStart w:id="383" w:name="_Toc296891027"/>
      <w:bookmarkStart w:id="384" w:name="_Toc297123548"/>
      <w:bookmarkStart w:id="385" w:name="_Toc296346700"/>
      <w:bookmarkStart w:id="386" w:name="_Toc297216207"/>
      <w:r>
        <w:rPr>
          <w:rFonts w:hint="eastAsia" w:ascii="仿宋" w:hAnsi="仿宋" w:eastAsia="仿宋" w:cs="仿宋"/>
          <w:b/>
          <w:bCs/>
          <w:sz w:val="28"/>
          <w:szCs w:val="28"/>
        </w:rPr>
        <w:t>0.7</w:t>
      </w:r>
      <w:r>
        <w:rPr>
          <w:rFonts w:hint="eastAsia" w:ascii="仿宋" w:hAnsi="仿宋" w:eastAsia="仿宋" w:cs="仿宋"/>
          <w:sz w:val="28"/>
          <w:szCs w:val="28"/>
        </w:rPr>
        <w:t>暂估价</w:t>
      </w:r>
    </w:p>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14:paraId="2D277A04">
      <w:pPr>
        <w:pStyle w:val="17"/>
        <w:ind w:firstLine="560" w:firstLineChars="200"/>
      </w:pPr>
      <w:r>
        <w:rPr>
          <w:rFonts w:hint="eastAsia" w:ascii="仿宋" w:hAnsi="仿宋" w:eastAsia="仿宋" w:cs="仿宋"/>
          <w:sz w:val="28"/>
          <w:szCs w:val="28"/>
        </w:rPr>
        <w:t>暂估价材料和工程设备的明细详见附件：《暂估价一览表》</w:t>
      </w:r>
    </w:p>
    <w:p w14:paraId="7AA4673D">
      <w:pPr>
        <w:spacing w:line="360" w:lineRule="exact"/>
        <w:ind w:firstLine="562" w:firstLineChars="200"/>
        <w:rPr>
          <w:rFonts w:ascii="仿宋" w:hAnsi="仿宋" w:eastAsia="仿宋" w:cs="仿宋"/>
          <w:bCs/>
          <w:sz w:val="28"/>
          <w:szCs w:val="28"/>
        </w:rPr>
      </w:pPr>
      <w:r>
        <w:rPr>
          <w:rFonts w:hint="eastAsia" w:ascii="仿宋" w:hAnsi="仿宋" w:eastAsia="仿宋" w:cs="仿宋"/>
          <w:b/>
          <w:bCs/>
          <w:sz w:val="28"/>
          <w:szCs w:val="28"/>
        </w:rPr>
        <w:t>10.7.1</w:t>
      </w:r>
      <w:r>
        <w:rPr>
          <w:rFonts w:hint="eastAsia" w:ascii="仿宋" w:hAnsi="仿宋" w:eastAsia="仿宋" w:cs="仿宋"/>
          <w:bCs/>
          <w:sz w:val="28"/>
          <w:szCs w:val="28"/>
        </w:rPr>
        <w:t>依法必须招标的暂估价项目</w:t>
      </w:r>
    </w:p>
    <w:p w14:paraId="46C2C5EF">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对于依法必须招标的暂估价项目，采取以下第</w:t>
      </w:r>
      <w:r>
        <w:rPr>
          <w:rFonts w:hint="eastAsia" w:ascii="仿宋" w:hAnsi="仿宋" w:eastAsia="仿宋" w:cs="仿宋"/>
          <w:bCs/>
          <w:sz w:val="28"/>
          <w:szCs w:val="28"/>
          <w:u w:val="single"/>
        </w:rPr>
        <w:t>1</w:t>
      </w:r>
      <w:r>
        <w:rPr>
          <w:rFonts w:hint="eastAsia" w:ascii="仿宋" w:hAnsi="仿宋" w:eastAsia="仿宋" w:cs="仿宋"/>
          <w:bCs/>
          <w:sz w:val="28"/>
          <w:szCs w:val="28"/>
        </w:rPr>
        <w:t>种方式确定。</w:t>
      </w:r>
    </w:p>
    <w:p w14:paraId="0476DABA">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第1种方式：对于依法必须招标的暂估价项目，由承包人招标，对该暂估价项目的确认和批准按照以下约定执行：</w:t>
      </w:r>
    </w:p>
    <w:p w14:paraId="74174041">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14:paraId="01207B74">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承包人应当根据施工进度计划，提前14天将招标文件通过监理人报送发包人审批，发包人应当在收到承包人报送的相关文件后7天内完成审批或提出修改意见；发包人有权确定最高投标限价并按照法律规定参加评标；</w:t>
      </w:r>
    </w:p>
    <w:p w14:paraId="45BC8C7A">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14:paraId="72C83CA3">
      <w:pPr>
        <w:spacing w:line="360" w:lineRule="exact"/>
        <w:ind w:firstLine="562" w:firstLineChars="200"/>
        <w:rPr>
          <w:rFonts w:ascii="仿宋" w:hAnsi="仿宋" w:eastAsia="仿宋" w:cs="仿宋"/>
          <w:bCs/>
          <w:sz w:val="28"/>
          <w:szCs w:val="28"/>
        </w:rPr>
      </w:pPr>
      <w:r>
        <w:rPr>
          <w:rFonts w:hint="eastAsia" w:ascii="仿宋" w:hAnsi="仿宋" w:eastAsia="仿宋" w:cs="仿宋"/>
          <w:b/>
          <w:bCs/>
          <w:sz w:val="28"/>
          <w:szCs w:val="28"/>
        </w:rPr>
        <w:t>10.7.2</w:t>
      </w:r>
      <w:r>
        <w:rPr>
          <w:rFonts w:hint="eastAsia" w:ascii="仿宋" w:hAnsi="仿宋" w:eastAsia="仿宋" w:cs="仿宋"/>
          <w:bCs/>
          <w:sz w:val="28"/>
          <w:szCs w:val="28"/>
        </w:rPr>
        <w:t>不属于依法必须招标的暂估价项目</w:t>
      </w:r>
    </w:p>
    <w:p w14:paraId="0785BFD2">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对于不属于依法必须招标的暂估价项目，采取以下第</w:t>
      </w:r>
      <w:r>
        <w:rPr>
          <w:rFonts w:hint="eastAsia" w:ascii="仿宋" w:hAnsi="仿宋" w:eastAsia="仿宋" w:cs="仿宋"/>
          <w:bCs/>
          <w:sz w:val="28"/>
          <w:szCs w:val="28"/>
          <w:u w:val="single"/>
        </w:rPr>
        <w:t>1</w:t>
      </w:r>
      <w:r>
        <w:rPr>
          <w:rFonts w:hint="eastAsia" w:ascii="仿宋" w:hAnsi="仿宋" w:eastAsia="仿宋" w:cs="仿宋"/>
          <w:bCs/>
          <w:sz w:val="28"/>
          <w:szCs w:val="28"/>
        </w:rPr>
        <w:t>种方式确定：</w:t>
      </w:r>
    </w:p>
    <w:p w14:paraId="2ADF0EF1">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第1种方式：对于不属于依法必须招标的暂估价项目，按本项约定确认和批准：</w:t>
      </w:r>
    </w:p>
    <w:p w14:paraId="068D5BC1">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14:paraId="189CE4DD">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（2）发包人认为承包人确定的供应商、分包人无法满足工程质量或合同要求的，发包人可以要求承包人重新确定暂估价项目的供应商、分包人；</w:t>
      </w:r>
    </w:p>
    <w:p w14:paraId="239BCACB">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（3）承包人应当在签订暂估价合同后7天内，将暂估价合同副本报送发包人留存。</w:t>
      </w:r>
    </w:p>
    <w:p w14:paraId="5F3DF0ED">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第3种方式：承包人直接实施的暂估价项目</w:t>
      </w:r>
    </w:p>
    <w:p w14:paraId="577371BA">
      <w:pPr>
        <w:spacing w:line="360" w:lineRule="exact"/>
        <w:ind w:firstLine="560" w:firstLineChars="200"/>
        <w:rPr>
          <w:rFonts w:ascii="仿宋" w:hAnsi="仿宋" w:eastAsia="仿宋" w:cs="仿宋"/>
          <w:bCs/>
          <w:sz w:val="28"/>
          <w:szCs w:val="28"/>
        </w:rPr>
      </w:pPr>
      <w:r>
        <w:rPr>
          <w:rFonts w:hint="eastAsia" w:ascii="仿宋" w:hAnsi="仿宋" w:eastAsia="仿宋" w:cs="仿宋"/>
          <w:bCs/>
          <w:sz w:val="28"/>
          <w:szCs w:val="28"/>
        </w:rPr>
        <w:t>承包人直接实施的暂估价项目的约定：</w:t>
      </w:r>
      <w:r>
        <w:rPr>
          <w:rFonts w:hint="eastAsia" w:ascii="仿宋" w:hAnsi="仿宋" w:eastAsia="仿宋" w:cs="仿宋"/>
          <w:sz w:val="28"/>
          <w:szCs w:val="28"/>
          <w:u w:val="single"/>
        </w:rPr>
        <w:t>/</w:t>
      </w:r>
      <w:r>
        <w:rPr>
          <w:rFonts w:hint="eastAsia" w:ascii="仿宋" w:hAnsi="仿宋" w:eastAsia="仿宋" w:cs="仿宋"/>
          <w:sz w:val="28"/>
          <w:szCs w:val="28"/>
        </w:rPr>
        <w:t>。</w:t>
      </w:r>
    </w:p>
    <w:p w14:paraId="7C8E912D">
      <w:pPr>
        <w:spacing w:line="360" w:lineRule="exact"/>
        <w:ind w:firstLine="562" w:firstLineChars="200"/>
        <w:rPr>
          <w:rFonts w:ascii="仿宋" w:hAnsi="仿宋" w:eastAsia="仿宋" w:cs="仿宋"/>
          <w:sz w:val="28"/>
          <w:szCs w:val="28"/>
        </w:rPr>
      </w:pPr>
      <w:r>
        <w:rPr>
          <w:rFonts w:hint="eastAsia" w:ascii="仿宋" w:hAnsi="仿宋" w:eastAsia="仿宋" w:cs="仿宋"/>
          <w:b/>
          <w:bCs/>
          <w:sz w:val="28"/>
          <w:szCs w:val="28"/>
        </w:rPr>
        <w:t>10.8</w:t>
      </w:r>
      <w:r>
        <w:rPr>
          <w:rFonts w:hint="eastAsia" w:ascii="仿宋" w:hAnsi="仿宋" w:eastAsia="仿宋" w:cs="仿宋"/>
          <w:sz w:val="28"/>
          <w:szCs w:val="28"/>
        </w:rPr>
        <w:t>暂列金额</w:t>
      </w:r>
    </w:p>
    <w:p w14:paraId="31A0B2B0">
      <w:pPr>
        <w:spacing w:line="360" w:lineRule="exact"/>
        <w:ind w:firstLine="638" w:firstLineChars="228"/>
        <w:rPr>
          <w:rFonts w:ascii="宋体" w:hAnsi="宋体" w:cs="宋体"/>
          <w:szCs w:val="21"/>
        </w:rPr>
      </w:pPr>
      <w:r>
        <w:rPr>
          <w:rFonts w:hint="eastAsia" w:ascii="仿宋" w:hAnsi="仿宋" w:eastAsia="仿宋" w:cs="仿宋"/>
          <w:kern w:val="0"/>
          <w:sz w:val="28"/>
          <w:szCs w:val="28"/>
        </w:rPr>
        <w:t>合同当事人关于暂列金额使用的约定：</w:t>
      </w:r>
      <w:r>
        <w:rPr>
          <w:rFonts w:hint="eastAsia" w:ascii="仿宋" w:hAnsi="仿宋" w:eastAsia="仿宋" w:cs="仿宋"/>
          <w:bCs/>
          <w:sz w:val="28"/>
          <w:szCs w:val="28"/>
          <w:u w:val="single"/>
        </w:rPr>
        <w:t>按照发包人要求使用，未发生时不予支付。其中</w:t>
      </w:r>
      <w:bookmarkStart w:id="387" w:name="_Toc351203643"/>
      <w:r>
        <w:rPr>
          <w:rFonts w:hint="eastAsia" w:ascii="仿宋" w:hAnsi="仿宋" w:eastAsia="仿宋" w:cs="仿宋"/>
          <w:bCs/>
          <w:sz w:val="28"/>
          <w:szCs w:val="28"/>
          <w:u w:val="single"/>
        </w:rPr>
        <w:t>暂列金额及暂估价，发包人有权根据实际需要进行直接发包，中标单位对临时工程部分不得收取其它费用。</w:t>
      </w:r>
    </w:p>
    <w:p w14:paraId="47E91197">
      <w:pPr>
        <w:autoSpaceDE w:val="0"/>
        <w:autoSpaceDN w:val="0"/>
        <w:adjustRightInd w:val="0"/>
        <w:spacing w:line="360" w:lineRule="exact"/>
        <w:ind w:firstLine="562" w:firstLineChars="200"/>
        <w:jc w:val="left"/>
        <w:rPr>
          <w:rFonts w:ascii="仿宋" w:hAnsi="仿宋" w:eastAsia="仿宋" w:cs="仿宋"/>
          <w:b/>
          <w:sz w:val="28"/>
          <w:szCs w:val="28"/>
        </w:rPr>
      </w:pPr>
      <w:r>
        <w:rPr>
          <w:rFonts w:hint="eastAsia" w:ascii="仿宋" w:hAnsi="仿宋" w:eastAsia="仿宋" w:cs="仿宋"/>
          <w:b/>
          <w:sz w:val="28"/>
          <w:szCs w:val="28"/>
        </w:rPr>
        <w:t>11.价格调整</w:t>
      </w:r>
      <w:bookmarkEnd w:id="387"/>
    </w:p>
    <w:bookmarkEnd w:id="297"/>
    <w:bookmarkEnd w:id="298"/>
    <w:bookmarkEnd w:id="299"/>
    <w:bookmarkEnd w:id="300"/>
    <w:bookmarkEnd w:id="301"/>
    <w:bookmarkEnd w:id="302"/>
    <w:p w14:paraId="612B9F36">
      <w:pPr>
        <w:keepNext/>
        <w:keepLines/>
        <w:spacing w:line="360" w:lineRule="exact"/>
        <w:ind w:firstLine="560" w:firstLineChars="200"/>
        <w:outlineLvl w:val="3"/>
        <w:rPr>
          <w:rFonts w:ascii="仿宋" w:hAnsi="仿宋" w:eastAsia="仿宋" w:cs="仿宋"/>
          <w:bCs/>
          <w:sz w:val="28"/>
          <w:szCs w:val="28"/>
        </w:rPr>
      </w:pPr>
      <w:bookmarkStart w:id="388" w:name="_Toc297120505"/>
      <w:bookmarkStart w:id="389" w:name="_Toc292559915"/>
      <w:bookmarkStart w:id="390" w:name="_Toc296891033"/>
      <w:bookmarkStart w:id="391" w:name="_Toc296503205"/>
      <w:bookmarkStart w:id="392" w:name="_Toc296891245"/>
      <w:bookmarkStart w:id="393" w:name="_Toc292559410"/>
      <w:bookmarkStart w:id="394" w:name="_Toc296347204"/>
      <w:bookmarkStart w:id="395" w:name="_Toc296944544"/>
      <w:bookmarkStart w:id="396" w:name="_Toc296346706"/>
      <w:bookmarkStart w:id="397" w:name="_Toc297048391"/>
      <w:bookmarkStart w:id="398" w:name="_Toc351203644"/>
      <w:bookmarkStart w:id="399" w:name="_Toc297216211"/>
      <w:bookmarkStart w:id="400" w:name="_Toc304295579"/>
      <w:bookmarkStart w:id="401" w:name="_Toc297123552"/>
      <w:bookmarkStart w:id="402" w:name="_Toc312678040"/>
      <w:bookmarkStart w:id="403" w:name="_Toc303539159"/>
      <w:bookmarkStart w:id="404" w:name="_Toc300935002"/>
      <w:r>
        <w:rPr>
          <w:rFonts w:hint="eastAsia" w:ascii="仿宋" w:hAnsi="仿宋" w:eastAsia="仿宋" w:cs="仿宋"/>
          <w:bCs/>
          <w:sz w:val="28"/>
          <w:szCs w:val="28"/>
        </w:rPr>
        <w:t>不进行价格调整，承包人不得向发包人另行收取合同价款以外的其他费用。</w:t>
      </w:r>
    </w:p>
    <w:p w14:paraId="5DDFBBB3">
      <w:pPr>
        <w:keepNext/>
        <w:keepLines/>
        <w:spacing w:line="360" w:lineRule="exact"/>
        <w:ind w:firstLine="562" w:firstLineChars="200"/>
        <w:outlineLvl w:val="3"/>
        <w:rPr>
          <w:rFonts w:ascii="仿宋" w:hAnsi="仿宋" w:eastAsia="仿宋" w:cs="仿宋"/>
          <w:b/>
          <w:sz w:val="28"/>
          <w:szCs w:val="28"/>
        </w:rPr>
      </w:pPr>
      <w:r>
        <w:rPr>
          <w:rFonts w:hint="eastAsia" w:ascii="仿宋" w:hAnsi="仿宋" w:eastAsia="仿宋" w:cs="仿宋"/>
          <w:b/>
          <w:sz w:val="28"/>
          <w:szCs w:val="28"/>
        </w:rPr>
        <w:t>12.</w:t>
      </w:r>
      <w:bookmarkEnd w:id="388"/>
      <w:bookmarkEnd w:id="389"/>
      <w:bookmarkEnd w:id="390"/>
      <w:bookmarkEnd w:id="391"/>
      <w:bookmarkEnd w:id="392"/>
      <w:bookmarkEnd w:id="393"/>
      <w:bookmarkEnd w:id="394"/>
      <w:bookmarkEnd w:id="395"/>
      <w:bookmarkEnd w:id="396"/>
      <w:bookmarkEnd w:id="397"/>
      <w:r>
        <w:rPr>
          <w:rFonts w:hint="eastAsia" w:ascii="仿宋" w:hAnsi="仿宋" w:eastAsia="仿宋" w:cs="仿宋"/>
          <w:b/>
          <w:sz w:val="28"/>
          <w:szCs w:val="28"/>
        </w:rPr>
        <w:t>合同价格、计量与支付</w:t>
      </w:r>
      <w:bookmarkEnd w:id="398"/>
    </w:p>
    <w:bookmarkEnd w:id="399"/>
    <w:bookmarkEnd w:id="400"/>
    <w:bookmarkEnd w:id="401"/>
    <w:bookmarkEnd w:id="402"/>
    <w:bookmarkEnd w:id="403"/>
    <w:bookmarkEnd w:id="404"/>
    <w:p w14:paraId="46208DB6">
      <w:pPr>
        <w:spacing w:line="360" w:lineRule="exact"/>
        <w:ind w:firstLine="562" w:firstLineChars="200"/>
        <w:rPr>
          <w:rFonts w:ascii="仿宋" w:hAnsi="仿宋" w:eastAsia="仿宋" w:cs="仿宋"/>
          <w:sz w:val="28"/>
          <w:szCs w:val="28"/>
        </w:rPr>
      </w:pPr>
      <w:bookmarkStart w:id="405" w:name="_Toc292559411"/>
      <w:bookmarkStart w:id="406" w:name="_Toc267251461"/>
      <w:bookmarkStart w:id="407" w:name="_Toc292559916"/>
      <w:bookmarkStart w:id="408" w:name="_Toc296891246"/>
      <w:bookmarkStart w:id="409" w:name="_Toc296891034"/>
      <w:bookmarkStart w:id="410" w:name="_Toc296346707"/>
      <w:bookmarkStart w:id="411" w:name="_Toc297048392"/>
      <w:bookmarkStart w:id="412" w:name="_Toc297120506"/>
      <w:bookmarkStart w:id="413" w:name="_Toc296347205"/>
      <w:bookmarkStart w:id="414" w:name="_Toc296944545"/>
      <w:bookmarkStart w:id="415" w:name="_Toc296503206"/>
      <w:bookmarkStart w:id="416" w:name="_Toc300935003"/>
      <w:bookmarkStart w:id="417" w:name="_Toc304295580"/>
      <w:bookmarkStart w:id="418" w:name="_Toc303539160"/>
      <w:bookmarkStart w:id="419" w:name="_Toc297123553"/>
      <w:bookmarkStart w:id="420" w:name="_Toc297216212"/>
      <w:bookmarkStart w:id="421" w:name="_Toc312678041"/>
      <w:r>
        <w:rPr>
          <w:rFonts w:hint="eastAsia" w:ascii="仿宋" w:hAnsi="仿宋" w:eastAsia="仿宋" w:cs="仿宋"/>
          <w:b/>
          <w:bCs/>
          <w:sz w:val="28"/>
          <w:szCs w:val="28"/>
        </w:rPr>
        <w:t>12.1</w:t>
      </w:r>
      <w:r>
        <w:rPr>
          <w:rFonts w:hint="eastAsia" w:ascii="仿宋" w:hAnsi="仿宋" w:eastAsia="仿宋" w:cs="仿宋"/>
          <w:sz w:val="28"/>
          <w:szCs w:val="28"/>
        </w:rPr>
        <w:t>合</w:t>
      </w:r>
      <w:bookmarkEnd w:id="405"/>
      <w:bookmarkEnd w:id="406"/>
      <w:bookmarkEnd w:id="407"/>
      <w:r>
        <w:rPr>
          <w:rFonts w:hint="eastAsia" w:ascii="仿宋" w:hAnsi="仿宋" w:eastAsia="仿宋" w:cs="仿宋"/>
          <w:sz w:val="28"/>
          <w:szCs w:val="28"/>
        </w:rPr>
        <w:t>同价</w:t>
      </w:r>
      <w:bookmarkEnd w:id="408"/>
      <w:bookmarkEnd w:id="409"/>
      <w:bookmarkEnd w:id="410"/>
      <w:bookmarkEnd w:id="411"/>
      <w:bookmarkEnd w:id="412"/>
      <w:bookmarkEnd w:id="413"/>
      <w:bookmarkEnd w:id="414"/>
      <w:bookmarkEnd w:id="415"/>
      <w:r>
        <w:rPr>
          <w:rFonts w:hint="eastAsia" w:ascii="仿宋" w:hAnsi="仿宋" w:eastAsia="仿宋" w:cs="仿宋"/>
          <w:sz w:val="28"/>
          <w:szCs w:val="28"/>
        </w:rPr>
        <w:t>格形式</w:t>
      </w:r>
    </w:p>
    <w:bookmarkEnd w:id="416"/>
    <w:bookmarkEnd w:id="417"/>
    <w:bookmarkEnd w:id="418"/>
    <w:bookmarkEnd w:id="419"/>
    <w:bookmarkEnd w:id="420"/>
    <w:bookmarkEnd w:id="421"/>
    <w:p w14:paraId="4DC409BA">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1、单价合同。</w:t>
      </w:r>
    </w:p>
    <w:p w14:paraId="7A0D46A1">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综合单价包含的风险范围：</w:t>
      </w:r>
      <w:r>
        <w:rPr>
          <w:rFonts w:hint="eastAsia" w:ascii="仿宋" w:hAnsi="仿宋" w:eastAsia="仿宋" w:cs="仿宋"/>
          <w:sz w:val="28"/>
          <w:szCs w:val="28"/>
          <w:u w:val="single"/>
        </w:rPr>
        <w:t>/</w:t>
      </w:r>
      <w:r>
        <w:rPr>
          <w:rFonts w:hint="eastAsia" w:ascii="仿宋" w:hAnsi="仿宋" w:eastAsia="仿宋" w:cs="仿宋"/>
          <w:sz w:val="28"/>
          <w:szCs w:val="28"/>
        </w:rPr>
        <w:t>。</w:t>
      </w:r>
    </w:p>
    <w:p w14:paraId="33DDD48D">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风险费用的计算方法：</w:t>
      </w:r>
      <w:r>
        <w:rPr>
          <w:rFonts w:hint="eastAsia" w:ascii="仿宋" w:hAnsi="仿宋" w:eastAsia="仿宋" w:cs="仿宋"/>
          <w:sz w:val="28"/>
          <w:szCs w:val="28"/>
          <w:u w:val="single"/>
        </w:rPr>
        <w:t>/</w:t>
      </w:r>
      <w:r>
        <w:rPr>
          <w:rFonts w:hint="eastAsia" w:ascii="仿宋" w:hAnsi="仿宋" w:eastAsia="仿宋" w:cs="仿宋"/>
          <w:sz w:val="28"/>
          <w:szCs w:val="28"/>
        </w:rPr>
        <w:t>。</w:t>
      </w:r>
    </w:p>
    <w:p w14:paraId="58A98234">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风险范围以外合同价格的调整方法：</w:t>
      </w:r>
      <w:r>
        <w:rPr>
          <w:rFonts w:hint="eastAsia" w:ascii="仿宋" w:hAnsi="仿宋" w:eastAsia="仿宋" w:cs="仿宋"/>
          <w:kern w:val="0"/>
          <w:sz w:val="28"/>
          <w:szCs w:val="28"/>
          <w:u w:val="single"/>
          <w:shd w:val="clear" w:color="auto" w:fill="FFFFFF"/>
        </w:rPr>
        <w:t>单价中材料价格调整按合同专用合同条款第11条规定执行</w:t>
      </w:r>
      <w:r>
        <w:rPr>
          <w:rFonts w:hint="eastAsia" w:ascii="仿宋" w:hAnsi="仿宋" w:eastAsia="仿宋" w:cs="仿宋"/>
          <w:sz w:val="28"/>
          <w:szCs w:val="28"/>
        </w:rPr>
        <w:t>。</w:t>
      </w:r>
    </w:p>
    <w:p w14:paraId="4F5129DB">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2、总价合同。</w:t>
      </w:r>
    </w:p>
    <w:p w14:paraId="5DB88511">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总价包含的风险范围：</w:t>
      </w:r>
      <w:r>
        <w:rPr>
          <w:rFonts w:hint="eastAsia" w:ascii="仿宋" w:hAnsi="仿宋" w:eastAsia="仿宋" w:cs="仿宋"/>
          <w:sz w:val="28"/>
          <w:szCs w:val="28"/>
          <w:u w:val="single"/>
        </w:rPr>
        <w:t>/</w:t>
      </w:r>
      <w:r>
        <w:rPr>
          <w:rFonts w:hint="eastAsia" w:ascii="仿宋" w:hAnsi="仿宋" w:eastAsia="仿宋" w:cs="仿宋"/>
          <w:sz w:val="28"/>
          <w:szCs w:val="28"/>
        </w:rPr>
        <w:t>。</w:t>
      </w:r>
    </w:p>
    <w:p w14:paraId="0FB179DA">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风险费用的计算方法：</w:t>
      </w:r>
      <w:r>
        <w:rPr>
          <w:rFonts w:hint="eastAsia" w:ascii="仿宋" w:hAnsi="仿宋" w:eastAsia="仿宋" w:cs="仿宋"/>
          <w:sz w:val="28"/>
          <w:szCs w:val="28"/>
          <w:u w:val="single"/>
        </w:rPr>
        <w:t>/</w:t>
      </w:r>
      <w:r>
        <w:rPr>
          <w:rFonts w:hint="eastAsia" w:ascii="仿宋" w:hAnsi="仿宋" w:eastAsia="仿宋" w:cs="仿宋"/>
          <w:sz w:val="28"/>
          <w:szCs w:val="28"/>
        </w:rPr>
        <w:t>。</w:t>
      </w:r>
    </w:p>
    <w:p w14:paraId="456BAA69">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风险范围以外合同价格的调整方法：</w:t>
      </w:r>
      <w:r>
        <w:rPr>
          <w:rFonts w:hint="eastAsia" w:ascii="仿宋" w:hAnsi="仿宋" w:eastAsia="仿宋" w:cs="仿宋"/>
          <w:sz w:val="28"/>
          <w:szCs w:val="28"/>
          <w:u w:val="single"/>
        </w:rPr>
        <w:t>/</w:t>
      </w:r>
      <w:r>
        <w:rPr>
          <w:rFonts w:hint="eastAsia" w:ascii="仿宋" w:hAnsi="仿宋" w:eastAsia="仿宋" w:cs="仿宋"/>
          <w:sz w:val="28"/>
          <w:szCs w:val="28"/>
        </w:rPr>
        <w:t>。</w:t>
      </w:r>
    </w:p>
    <w:p w14:paraId="6FDC2485">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3、其他价格方式：</w:t>
      </w:r>
      <w:r>
        <w:rPr>
          <w:rFonts w:hint="eastAsia" w:ascii="仿宋" w:hAnsi="仿宋" w:eastAsia="仿宋" w:cs="仿宋"/>
          <w:sz w:val="28"/>
          <w:szCs w:val="28"/>
          <w:u w:val="single"/>
        </w:rPr>
        <w:t>/。</w:t>
      </w:r>
    </w:p>
    <w:p w14:paraId="0641CEDD">
      <w:pPr>
        <w:spacing w:line="360" w:lineRule="exact"/>
        <w:ind w:firstLine="562" w:firstLineChars="200"/>
        <w:rPr>
          <w:rFonts w:ascii="仿宋" w:hAnsi="仿宋" w:eastAsia="仿宋" w:cs="仿宋"/>
          <w:sz w:val="28"/>
          <w:szCs w:val="28"/>
        </w:rPr>
      </w:pPr>
      <w:bookmarkStart w:id="422" w:name="_Toc297216213"/>
      <w:bookmarkStart w:id="423" w:name="_Toc303539161"/>
      <w:bookmarkStart w:id="424" w:name="_Toc300935004"/>
      <w:bookmarkStart w:id="425" w:name="_Toc304295581"/>
      <w:bookmarkStart w:id="426" w:name="_Toc312678042"/>
      <w:bookmarkStart w:id="427" w:name="_Toc297123554"/>
      <w:bookmarkStart w:id="428" w:name="_Toc296503207"/>
      <w:bookmarkStart w:id="429" w:name="_Toc292559412"/>
      <w:bookmarkStart w:id="430" w:name="_Toc297048393"/>
      <w:bookmarkStart w:id="431" w:name="_Toc296891247"/>
      <w:bookmarkStart w:id="432" w:name="_Toc297120507"/>
      <w:bookmarkStart w:id="433" w:name="_Toc292559917"/>
      <w:bookmarkStart w:id="434" w:name="_Toc296347206"/>
      <w:bookmarkStart w:id="435" w:name="_Toc296891035"/>
      <w:bookmarkStart w:id="436" w:name="_Toc296944546"/>
      <w:bookmarkStart w:id="437" w:name="_Toc296346708"/>
      <w:r>
        <w:rPr>
          <w:rFonts w:hint="eastAsia" w:ascii="仿宋" w:hAnsi="仿宋" w:eastAsia="仿宋" w:cs="仿宋"/>
          <w:b/>
          <w:sz w:val="28"/>
          <w:szCs w:val="28"/>
        </w:rPr>
        <w:t>12.2</w:t>
      </w:r>
      <w:r>
        <w:rPr>
          <w:rFonts w:hint="eastAsia" w:ascii="仿宋" w:hAnsi="仿宋" w:eastAsia="仿宋" w:cs="仿宋"/>
          <w:sz w:val="28"/>
          <w:szCs w:val="28"/>
        </w:rPr>
        <w:t>预付款</w:t>
      </w:r>
    </w:p>
    <w:bookmarkEnd w:id="422"/>
    <w:bookmarkEnd w:id="423"/>
    <w:bookmarkEnd w:id="424"/>
    <w:bookmarkEnd w:id="425"/>
    <w:bookmarkEnd w:id="426"/>
    <w:bookmarkEnd w:id="427"/>
    <w:p w14:paraId="3F6F3012">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12.2.1</w:t>
      </w:r>
      <w:r>
        <w:rPr>
          <w:rFonts w:hint="eastAsia" w:ascii="仿宋" w:hAnsi="仿宋" w:eastAsia="仿宋" w:cs="仿宋"/>
          <w:sz w:val="28"/>
          <w:szCs w:val="28"/>
        </w:rPr>
        <w:t>预付款的支付</w:t>
      </w:r>
    </w:p>
    <w:p w14:paraId="5314EC3E">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预付款支付比例或金额：</w:t>
      </w:r>
      <w:r>
        <w:rPr>
          <w:rFonts w:hint="eastAsia" w:ascii="仿宋" w:hAnsi="仿宋" w:eastAsia="仿宋" w:cs="仿宋"/>
          <w:sz w:val="28"/>
          <w:szCs w:val="28"/>
          <w:u w:val="single"/>
        </w:rPr>
        <w:t>合同金额的10%</w:t>
      </w:r>
      <w:r>
        <w:rPr>
          <w:rFonts w:hint="eastAsia" w:ascii="仿宋" w:hAnsi="仿宋" w:eastAsia="仿宋" w:cs="仿宋"/>
          <w:sz w:val="28"/>
          <w:szCs w:val="28"/>
        </w:rPr>
        <w:t>。</w:t>
      </w:r>
    </w:p>
    <w:p w14:paraId="627FE809">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预付款支付期限：</w:t>
      </w:r>
      <w:r>
        <w:rPr>
          <w:rFonts w:hint="eastAsia" w:ascii="仿宋" w:hAnsi="仿宋" w:eastAsia="仿宋" w:cs="仿宋"/>
          <w:color w:val="FF0000"/>
          <w:sz w:val="28"/>
          <w:szCs w:val="28"/>
          <w:u w:val="single"/>
        </w:rPr>
        <w:t>承包人按工期要求，将所有机械设备进场持续投入建设的10天后，项目进度获甲方认可后拨付预付款，但乙方不得以甲方未拔付预付款为由，停工或延缓本项目施工建设，否则视为乙方违约。</w:t>
      </w:r>
    </w:p>
    <w:bookmarkEnd w:id="428"/>
    <w:bookmarkEnd w:id="429"/>
    <w:bookmarkEnd w:id="430"/>
    <w:bookmarkEnd w:id="431"/>
    <w:bookmarkEnd w:id="432"/>
    <w:bookmarkEnd w:id="433"/>
    <w:bookmarkEnd w:id="434"/>
    <w:bookmarkEnd w:id="435"/>
    <w:bookmarkEnd w:id="436"/>
    <w:bookmarkEnd w:id="437"/>
    <w:p w14:paraId="40A17481">
      <w:pPr>
        <w:spacing w:line="360" w:lineRule="exact"/>
        <w:ind w:firstLine="560" w:firstLineChars="200"/>
        <w:rPr>
          <w:rFonts w:ascii="仿宋" w:hAnsi="仿宋" w:eastAsia="仿宋" w:cs="仿宋"/>
          <w:color w:val="FF0000"/>
          <w:sz w:val="28"/>
          <w:szCs w:val="28"/>
          <w:u w:val="single"/>
        </w:rPr>
      </w:pPr>
      <w:r>
        <w:rPr>
          <w:rFonts w:hint="eastAsia" w:ascii="仿宋" w:hAnsi="仿宋" w:eastAsia="仿宋" w:cs="仿宋"/>
          <w:sz w:val="28"/>
          <w:szCs w:val="28"/>
        </w:rPr>
        <w:t>预付款扣回的方式：</w:t>
      </w:r>
      <w:r>
        <w:rPr>
          <w:rFonts w:hint="eastAsia" w:ascii="仿宋" w:hAnsi="仿宋" w:eastAsia="仿宋" w:cs="仿宋"/>
          <w:color w:val="FF0000"/>
          <w:sz w:val="28"/>
          <w:szCs w:val="28"/>
          <w:u w:val="single"/>
        </w:rPr>
        <w:t>在第一期和第二期两期计量进度款中每期按已付预付款的50%分次扣回。</w:t>
      </w:r>
    </w:p>
    <w:p w14:paraId="7C4DD6BA">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12.2.2</w:t>
      </w:r>
      <w:r>
        <w:rPr>
          <w:rFonts w:hint="eastAsia" w:ascii="仿宋" w:hAnsi="仿宋" w:eastAsia="仿宋" w:cs="仿宋"/>
          <w:sz w:val="28"/>
          <w:szCs w:val="28"/>
        </w:rPr>
        <w:t>预付款担保</w:t>
      </w:r>
    </w:p>
    <w:p w14:paraId="255CB9FB">
      <w:pPr>
        <w:spacing w:line="360" w:lineRule="exact"/>
        <w:ind w:firstLine="560" w:firstLineChars="200"/>
        <w:rPr>
          <w:rFonts w:ascii="仿宋" w:hAnsi="仿宋" w:eastAsia="仿宋" w:cs="仿宋"/>
          <w:color w:val="FF0000"/>
          <w:sz w:val="28"/>
          <w:szCs w:val="28"/>
          <w:u w:val="single"/>
        </w:rPr>
      </w:pPr>
      <w:r>
        <w:rPr>
          <w:rFonts w:hint="eastAsia" w:ascii="仿宋" w:hAnsi="仿宋" w:eastAsia="仿宋" w:cs="仿宋"/>
          <w:sz w:val="28"/>
          <w:szCs w:val="28"/>
        </w:rPr>
        <w:t>承包人提交预付款担保的期限：</w:t>
      </w:r>
      <w:r>
        <w:rPr>
          <w:rFonts w:hint="eastAsia" w:ascii="仿宋" w:hAnsi="仿宋" w:eastAsia="仿宋" w:cs="仿宋"/>
          <w:color w:val="FF0000"/>
          <w:sz w:val="28"/>
          <w:szCs w:val="28"/>
          <w:u w:val="single"/>
        </w:rPr>
        <w:t>乙方需提交等额的预付款保函，期限为预付款全部扣回时止。</w:t>
      </w:r>
    </w:p>
    <w:p w14:paraId="15C1CFA8">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预付款担保的形式为：</w:t>
      </w:r>
      <w:r>
        <w:rPr>
          <w:rFonts w:hint="eastAsia" w:ascii="仿宋" w:hAnsi="仿宋" w:eastAsia="仿宋" w:cs="仿宋"/>
          <w:color w:val="FF0000"/>
          <w:sz w:val="28"/>
          <w:szCs w:val="28"/>
          <w:u w:val="single"/>
        </w:rPr>
        <w:t>预付款保函或现金</w:t>
      </w:r>
      <w:r>
        <w:rPr>
          <w:rFonts w:hint="eastAsia" w:ascii="仿宋" w:hAnsi="仿宋" w:eastAsia="仿宋" w:cs="仿宋"/>
          <w:sz w:val="28"/>
          <w:szCs w:val="28"/>
        </w:rPr>
        <w:t>。</w:t>
      </w:r>
    </w:p>
    <w:p w14:paraId="28B9A762">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12.3</w:t>
      </w:r>
      <w:r>
        <w:rPr>
          <w:rFonts w:hint="eastAsia" w:ascii="仿宋" w:hAnsi="仿宋" w:eastAsia="仿宋" w:cs="仿宋"/>
          <w:sz w:val="28"/>
          <w:szCs w:val="28"/>
        </w:rPr>
        <w:t>计量</w:t>
      </w:r>
    </w:p>
    <w:p w14:paraId="5432A713">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12.3.1</w:t>
      </w:r>
      <w:r>
        <w:rPr>
          <w:rFonts w:hint="eastAsia" w:ascii="仿宋" w:hAnsi="仿宋" w:eastAsia="仿宋" w:cs="仿宋"/>
          <w:sz w:val="28"/>
          <w:szCs w:val="28"/>
        </w:rPr>
        <w:t>计量原则</w:t>
      </w:r>
    </w:p>
    <w:p w14:paraId="589FE0F7">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工程量计算规则：</w:t>
      </w:r>
      <w:r>
        <w:rPr>
          <w:rFonts w:hint="eastAsia" w:ascii="仿宋" w:hAnsi="仿宋" w:eastAsia="仿宋" w:cs="仿宋"/>
          <w:sz w:val="28"/>
          <w:szCs w:val="28"/>
          <w:u w:val="single"/>
        </w:rPr>
        <w:t>按有关国家标准、行业标准的规定执行</w:t>
      </w:r>
      <w:r>
        <w:rPr>
          <w:rFonts w:hint="eastAsia" w:ascii="仿宋" w:hAnsi="仿宋" w:eastAsia="仿宋" w:cs="仿宋"/>
          <w:sz w:val="28"/>
          <w:szCs w:val="28"/>
        </w:rPr>
        <w:t>。</w:t>
      </w:r>
    </w:p>
    <w:p w14:paraId="58E7132C">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12.3.2</w:t>
      </w:r>
      <w:r>
        <w:rPr>
          <w:rFonts w:hint="eastAsia" w:ascii="仿宋" w:hAnsi="仿宋" w:eastAsia="仿宋" w:cs="仿宋"/>
          <w:sz w:val="28"/>
          <w:szCs w:val="28"/>
        </w:rPr>
        <w:t>计量周期</w:t>
      </w:r>
    </w:p>
    <w:p w14:paraId="2E9276B0">
      <w:pPr>
        <w:spacing w:line="360" w:lineRule="exact"/>
        <w:ind w:firstLine="560" w:firstLineChars="200"/>
        <w:rPr>
          <w:rFonts w:ascii="仿宋" w:hAnsi="仿宋" w:eastAsia="仿宋" w:cs="仿宋"/>
          <w:color w:val="FF0000"/>
          <w:sz w:val="28"/>
          <w:szCs w:val="28"/>
          <w:u w:val="single"/>
        </w:rPr>
      </w:pPr>
      <w:r>
        <w:rPr>
          <w:rFonts w:hint="eastAsia" w:ascii="仿宋" w:hAnsi="仿宋" w:eastAsia="仿宋" w:cs="仿宋"/>
          <w:color w:val="FF0000"/>
          <w:sz w:val="28"/>
          <w:szCs w:val="28"/>
        </w:rPr>
        <w:t>首次计量款限额为100万元，后续计量不得少于50万元/次，少于50万元当月不计量，转入下月计量。</w:t>
      </w:r>
    </w:p>
    <w:p w14:paraId="277AAD68">
      <w:pPr>
        <w:spacing w:line="360" w:lineRule="exact"/>
        <w:ind w:firstLine="632" w:firstLineChars="225"/>
        <w:jc w:val="left"/>
        <w:rPr>
          <w:rFonts w:ascii="仿宋" w:hAnsi="仿宋" w:eastAsia="仿宋" w:cs="仿宋"/>
          <w:sz w:val="28"/>
          <w:szCs w:val="28"/>
        </w:rPr>
      </w:pPr>
      <w:r>
        <w:rPr>
          <w:rFonts w:hint="eastAsia" w:ascii="仿宋" w:hAnsi="仿宋" w:eastAsia="仿宋" w:cs="仿宋"/>
          <w:b/>
          <w:sz w:val="28"/>
          <w:szCs w:val="28"/>
        </w:rPr>
        <w:t>12.3.3</w:t>
      </w:r>
      <w:r>
        <w:rPr>
          <w:rFonts w:hint="eastAsia" w:ascii="仿宋" w:hAnsi="仿宋" w:eastAsia="仿宋" w:cs="仿宋"/>
          <w:sz w:val="28"/>
          <w:szCs w:val="28"/>
        </w:rPr>
        <w:t>单价合同的计量</w:t>
      </w:r>
    </w:p>
    <w:p w14:paraId="67E463A7">
      <w:pPr>
        <w:spacing w:line="360" w:lineRule="exact"/>
        <w:ind w:firstLine="630" w:firstLineChars="225"/>
        <w:rPr>
          <w:rFonts w:ascii="仿宋" w:hAnsi="仿宋" w:eastAsia="仿宋" w:cs="仿宋"/>
          <w:sz w:val="28"/>
          <w:szCs w:val="28"/>
        </w:rPr>
      </w:pPr>
      <w:r>
        <w:rPr>
          <w:rFonts w:hint="eastAsia" w:ascii="仿宋" w:hAnsi="仿宋" w:eastAsia="仿宋" w:cs="仿宋"/>
          <w:sz w:val="28"/>
          <w:szCs w:val="28"/>
        </w:rPr>
        <w:t>关于单价合同计量的约定：</w:t>
      </w:r>
    </w:p>
    <w:p w14:paraId="61DC0009">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（1）已标价工程量清单中的单价子目工程量为估算工程量。结算工程量是承包人实际完成的，并按合同约定的计量方法进行计量的工程量。</w:t>
      </w:r>
    </w:p>
    <w:p w14:paraId="1465B260">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（2）承包人对已完成的工程进行计量，向监理人提交进度付款申请单、已完成工程量报表和有关计量资料。</w:t>
      </w:r>
    </w:p>
    <w:p w14:paraId="0C1D823F">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3）监理人对承包人提交的工程量报表进行复核，以确定实际完成的工程量。对数量有异议的，监理人可以指示承包人进行抽样复测，当复测中发现错误或出现超过合同约定的误差时，承包人应按监理人指示进行修正或补测，并承担相应的复测费用。承包人应协助监理人进行复核并按监理人要求提供补充计量资料。承包人未按监理人要求参加复核，监理人复核或修正的工程量视为承包人实际完成的工程量。</w:t>
      </w:r>
    </w:p>
    <w:p w14:paraId="56E07557">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（4）监理人认为有必要时，可通知承包人共同进行联合测量、计量，承包人应遵照执行。</w:t>
      </w:r>
    </w:p>
    <w:p w14:paraId="6D1A564E">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5）承包人完成工程量清单中每个子目的工程量后，监理人应要求承包人派员共同对每个子目的历次计量报表进行汇总，以核实最终结算工程量。监理人可要求承包人提供补充计量资料，以确定最后一次进度付款的准确工程量。承包人未按监理人要求派员参加的，监理人最终核实的工程量视为承包人完成该子目的准确工程量。</w:t>
      </w:r>
    </w:p>
    <w:p w14:paraId="3980BAC3">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（6）监理人应在收到承包人提交的工程量报表后的7天内进行复核，监理人未在约定时间内复核的，承包人提交的工程量报表中的工程量视为承包人实际完成的工程量，据此计算工程价款。</w:t>
      </w:r>
    </w:p>
    <w:p w14:paraId="21383D6F">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（7）已完成的工程量中间计量，承包人应按发包人中间计量有关规定进行申报。</w:t>
      </w:r>
    </w:p>
    <w:p w14:paraId="2AE817C2">
      <w:pPr>
        <w:spacing w:line="360" w:lineRule="exact"/>
        <w:ind w:firstLine="632" w:firstLineChars="225"/>
        <w:jc w:val="left"/>
        <w:rPr>
          <w:rFonts w:ascii="仿宋" w:hAnsi="仿宋" w:eastAsia="仿宋" w:cs="仿宋"/>
          <w:sz w:val="28"/>
          <w:szCs w:val="28"/>
        </w:rPr>
      </w:pPr>
      <w:r>
        <w:rPr>
          <w:rFonts w:hint="eastAsia" w:ascii="仿宋" w:hAnsi="仿宋" w:eastAsia="仿宋" w:cs="仿宋"/>
          <w:b/>
          <w:sz w:val="28"/>
          <w:szCs w:val="28"/>
        </w:rPr>
        <w:t>12.3.4</w:t>
      </w:r>
      <w:r>
        <w:rPr>
          <w:rFonts w:hint="eastAsia" w:ascii="仿宋" w:hAnsi="仿宋" w:eastAsia="仿宋" w:cs="仿宋"/>
          <w:sz w:val="28"/>
          <w:szCs w:val="28"/>
        </w:rPr>
        <w:t>总价合同的计量</w:t>
      </w:r>
    </w:p>
    <w:p w14:paraId="5F4B820B">
      <w:pPr>
        <w:spacing w:line="360" w:lineRule="exact"/>
        <w:ind w:firstLine="630" w:firstLineChars="225"/>
        <w:rPr>
          <w:rFonts w:ascii="仿宋" w:hAnsi="仿宋" w:eastAsia="仿宋" w:cs="仿宋"/>
          <w:sz w:val="28"/>
          <w:szCs w:val="28"/>
        </w:rPr>
      </w:pPr>
      <w:r>
        <w:rPr>
          <w:rFonts w:hint="eastAsia" w:ascii="仿宋" w:hAnsi="仿宋" w:eastAsia="仿宋" w:cs="仿宋"/>
          <w:sz w:val="28"/>
          <w:szCs w:val="28"/>
        </w:rPr>
        <w:t>关于总价合同计量的约定：</w:t>
      </w:r>
    </w:p>
    <w:p w14:paraId="122CA1D5">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（1）总价子目的计量和支付应以总价为基础，不因物价波动引起的价格调整款中的因素而进行调整。承包人实际完成的工程量，是进行工程目标管理和控制进度支付的依据。</w:t>
      </w:r>
    </w:p>
    <w:p w14:paraId="78C1F49F">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2）承包人在合同约定的每个计量周期内，对已完成的工程进行计量，并向监理人提交进度付款申请单、专用合同条款约定的合同总价支付分解表所表示的阶段性或分项计量的支持性资料，以及所达到工程形象目标或分阶段需完成的工程量和有关计量资料。</w:t>
      </w:r>
    </w:p>
    <w:p w14:paraId="6E7370EE">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3）监理人对承包人提交的上述资料进行复核，以确定分阶段实际完成的工程量和工程形象目标。对其有异议的，监理人可以指示承包人进行抽样复测，当复测中发现错误或出现超过合同约定的误差时，承包人应按监理人指示进行修正或补测，并承担相应的复测费用。</w:t>
      </w:r>
    </w:p>
    <w:p w14:paraId="200A4A81">
      <w:pPr>
        <w:spacing w:line="360" w:lineRule="exact"/>
        <w:ind w:firstLine="630" w:firstLineChars="225"/>
        <w:rPr>
          <w:rFonts w:ascii="仿宋" w:hAnsi="仿宋" w:eastAsia="仿宋" w:cs="仿宋"/>
          <w:sz w:val="28"/>
          <w:szCs w:val="28"/>
          <w:u w:val="single"/>
        </w:rPr>
      </w:pPr>
      <w:r>
        <w:rPr>
          <w:rFonts w:hint="eastAsia" w:ascii="仿宋" w:hAnsi="仿宋" w:eastAsia="仿宋" w:cs="仿宋"/>
          <w:sz w:val="28"/>
          <w:szCs w:val="28"/>
          <w:u w:val="single"/>
        </w:rPr>
        <w:t>（4）除按照变更条款约定的变更外，总价子目的工程量是承包人用于结算的最终工程量。</w:t>
      </w:r>
    </w:p>
    <w:p w14:paraId="1DC7618D">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12.3.5</w:t>
      </w:r>
      <w:r>
        <w:rPr>
          <w:rFonts w:hint="eastAsia" w:ascii="仿宋" w:hAnsi="仿宋" w:eastAsia="仿宋" w:cs="仿宋"/>
          <w:sz w:val="28"/>
          <w:szCs w:val="28"/>
        </w:rPr>
        <w:t>总价合同采用支付分解表计量支付的，是否适用第</w:t>
      </w:r>
      <w:r>
        <w:rPr>
          <w:rFonts w:hint="eastAsia" w:ascii="仿宋" w:hAnsi="仿宋" w:eastAsia="仿宋" w:cs="仿宋"/>
          <w:kern w:val="0"/>
          <w:sz w:val="28"/>
          <w:szCs w:val="28"/>
        </w:rPr>
        <w:t>12.3.4</w:t>
      </w:r>
      <w:r>
        <w:rPr>
          <w:rFonts w:hint="eastAsia" w:ascii="仿宋" w:hAnsi="仿宋" w:eastAsia="仿宋" w:cs="仿宋"/>
          <w:sz w:val="28"/>
          <w:szCs w:val="28"/>
        </w:rPr>
        <w:t>项</w:t>
      </w:r>
      <w:r>
        <w:rPr>
          <w:rFonts w:hint="eastAsia" w:ascii="仿宋" w:hAnsi="仿宋" w:eastAsia="仿宋" w:cs="仿宋"/>
          <w:kern w:val="0"/>
          <w:sz w:val="28"/>
          <w:szCs w:val="28"/>
        </w:rPr>
        <w:t>〔总价合同的计量〕</w:t>
      </w:r>
      <w:r>
        <w:rPr>
          <w:rFonts w:hint="eastAsia" w:ascii="仿宋" w:hAnsi="仿宋" w:eastAsia="仿宋" w:cs="仿宋"/>
          <w:sz w:val="28"/>
          <w:szCs w:val="28"/>
        </w:rPr>
        <w:t>约定进行计量：</w:t>
      </w:r>
      <w:r>
        <w:rPr>
          <w:rFonts w:hint="eastAsia" w:ascii="仿宋" w:hAnsi="仿宋" w:eastAsia="仿宋" w:cs="仿宋"/>
          <w:sz w:val="28"/>
          <w:szCs w:val="28"/>
          <w:u w:val="single"/>
        </w:rPr>
        <w:t>否</w:t>
      </w:r>
      <w:r>
        <w:rPr>
          <w:rFonts w:hint="eastAsia" w:ascii="仿宋" w:hAnsi="仿宋" w:eastAsia="仿宋" w:cs="仿宋"/>
          <w:sz w:val="28"/>
          <w:szCs w:val="28"/>
        </w:rPr>
        <w:t>。</w:t>
      </w:r>
    </w:p>
    <w:p w14:paraId="76655689">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12.3.6</w:t>
      </w:r>
      <w:r>
        <w:rPr>
          <w:rFonts w:hint="eastAsia" w:ascii="仿宋" w:hAnsi="仿宋" w:eastAsia="仿宋" w:cs="仿宋"/>
          <w:sz w:val="28"/>
          <w:szCs w:val="28"/>
        </w:rPr>
        <w:t>其他价格形式合同的计量</w:t>
      </w:r>
    </w:p>
    <w:p w14:paraId="1342676A">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其他价格形式的计量方式和程序：</w:t>
      </w:r>
      <w:r>
        <w:rPr>
          <w:rFonts w:hint="eastAsia" w:ascii="仿宋" w:hAnsi="仿宋" w:eastAsia="仿宋" w:cs="仿宋"/>
          <w:sz w:val="28"/>
          <w:szCs w:val="28"/>
          <w:u w:val="single"/>
        </w:rPr>
        <w:t>/</w:t>
      </w:r>
      <w:r>
        <w:rPr>
          <w:rFonts w:hint="eastAsia" w:ascii="仿宋" w:hAnsi="仿宋" w:eastAsia="仿宋" w:cs="仿宋"/>
          <w:sz w:val="28"/>
          <w:szCs w:val="28"/>
        </w:rPr>
        <w:t>。</w:t>
      </w:r>
    </w:p>
    <w:p w14:paraId="3BD08BA4">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12.4</w:t>
      </w:r>
      <w:r>
        <w:rPr>
          <w:rFonts w:hint="eastAsia" w:ascii="仿宋" w:hAnsi="仿宋" w:eastAsia="仿宋" w:cs="仿宋"/>
          <w:sz w:val="28"/>
          <w:szCs w:val="28"/>
        </w:rPr>
        <w:t>工程进度款支付</w:t>
      </w:r>
    </w:p>
    <w:p w14:paraId="6CD1D863">
      <w:pPr>
        <w:spacing w:line="360" w:lineRule="exact"/>
        <w:ind w:firstLine="562" w:firstLineChars="200"/>
        <w:jc w:val="left"/>
        <w:rPr>
          <w:rFonts w:ascii="仿宋" w:hAnsi="仿宋" w:eastAsia="仿宋" w:cs="仿宋"/>
          <w:sz w:val="28"/>
          <w:szCs w:val="28"/>
        </w:rPr>
      </w:pPr>
      <w:bookmarkStart w:id="438" w:name="_Toc297216215"/>
      <w:bookmarkStart w:id="439" w:name="_Toc292559416"/>
      <w:bookmarkStart w:id="440" w:name="_Toc297120511"/>
      <w:bookmarkStart w:id="441" w:name="_Toc303539163"/>
      <w:bookmarkStart w:id="442" w:name="_Toc296346712"/>
      <w:bookmarkStart w:id="443" w:name="_Toc296891039"/>
      <w:bookmarkStart w:id="444" w:name="_Toc296347210"/>
      <w:bookmarkStart w:id="445" w:name="_Toc300935006"/>
      <w:bookmarkStart w:id="446" w:name="_Toc297123556"/>
      <w:bookmarkStart w:id="447" w:name="_Toc296503211"/>
      <w:bookmarkStart w:id="448" w:name="_Toc296944550"/>
      <w:bookmarkStart w:id="449" w:name="_Toc297048397"/>
      <w:bookmarkStart w:id="450" w:name="_Toc296891251"/>
      <w:bookmarkStart w:id="451" w:name="_Toc292559921"/>
      <w:r>
        <w:rPr>
          <w:rFonts w:hint="eastAsia" w:ascii="仿宋" w:hAnsi="仿宋" w:eastAsia="仿宋" w:cs="仿宋"/>
          <w:b/>
          <w:sz w:val="28"/>
          <w:szCs w:val="28"/>
        </w:rPr>
        <w:t>12.4.1</w:t>
      </w:r>
      <w:r>
        <w:rPr>
          <w:rFonts w:hint="eastAsia" w:ascii="仿宋" w:hAnsi="仿宋" w:eastAsia="仿宋" w:cs="仿宋"/>
          <w:sz w:val="28"/>
          <w:szCs w:val="28"/>
        </w:rPr>
        <w:t>付款周期</w:t>
      </w:r>
    </w:p>
    <w:p w14:paraId="68C8B122">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关于付款周期的约定：</w:t>
      </w:r>
    </w:p>
    <w:p w14:paraId="500A6277">
      <w:pPr>
        <w:spacing w:line="360" w:lineRule="exact"/>
        <w:ind w:firstLine="560" w:firstLineChars="200"/>
        <w:rPr>
          <w:rFonts w:ascii="仿宋" w:hAnsi="仿宋" w:eastAsia="仿宋" w:cs="仿宋"/>
          <w:color w:val="FF0000"/>
          <w:sz w:val="28"/>
          <w:szCs w:val="28"/>
          <w:u w:val="single"/>
        </w:rPr>
      </w:pPr>
      <w:r>
        <w:rPr>
          <w:rFonts w:hint="eastAsia" w:ascii="仿宋" w:hAnsi="仿宋" w:eastAsia="仿宋" w:cs="仿宋"/>
          <w:color w:val="FF0000"/>
          <w:sz w:val="28"/>
          <w:szCs w:val="28"/>
          <w:u w:val="single"/>
        </w:rPr>
        <w:t>工程款按付款周期约定支付，工程款支付后，即视为发包人履行了本合同项下付款义务，承包人的债权债务问题均与发包人无关。</w:t>
      </w:r>
    </w:p>
    <w:p w14:paraId="5CF193AB">
      <w:pPr>
        <w:spacing w:line="360" w:lineRule="exact"/>
        <w:ind w:firstLine="560" w:firstLineChars="200"/>
        <w:rPr>
          <w:rFonts w:ascii="仿宋" w:hAnsi="仿宋" w:eastAsia="仿宋" w:cs="仿宋"/>
          <w:color w:val="FF0000"/>
          <w:sz w:val="28"/>
          <w:szCs w:val="28"/>
          <w:u w:val="single"/>
        </w:rPr>
      </w:pPr>
      <w:r>
        <w:rPr>
          <w:rFonts w:hint="eastAsia" w:ascii="仿宋" w:hAnsi="仿宋" w:eastAsia="仿宋" w:cs="仿宋"/>
          <w:color w:val="FF0000"/>
          <w:sz w:val="28"/>
          <w:szCs w:val="28"/>
          <w:u w:val="single"/>
        </w:rPr>
        <w:t>承包人按工期要求，将所有机械设备进场持续投入建设的10天后，项目进度获发包人认可的，发包人拨付预付款，预付款为合同金额的10%（但承包人不得以发包人未拔付预付款为由，停工或延缓本项目施工建设，否则视为承包人违约），预付款为现金形式，但承包人需提交等额的预付款保函。预付款由发包人在其后的第一期 和第二期两期计量进度款中每期按已付预付款的50%分次扣回。</w:t>
      </w:r>
    </w:p>
    <w:p w14:paraId="2374D05F">
      <w:pPr>
        <w:spacing w:line="360" w:lineRule="exact"/>
        <w:ind w:firstLine="560" w:firstLineChars="200"/>
        <w:rPr>
          <w:rFonts w:ascii="仿宋" w:hAnsi="仿宋" w:eastAsia="仿宋" w:cs="仿宋"/>
          <w:color w:val="FF0000"/>
          <w:sz w:val="28"/>
          <w:szCs w:val="28"/>
          <w:u w:val="single"/>
        </w:rPr>
      </w:pPr>
      <w:r>
        <w:rPr>
          <w:rFonts w:hint="eastAsia" w:ascii="仿宋" w:hAnsi="仿宋" w:eastAsia="仿宋" w:cs="仿宋"/>
          <w:color w:val="FF0000"/>
          <w:sz w:val="28"/>
          <w:szCs w:val="28"/>
          <w:u w:val="single"/>
        </w:rPr>
        <w:t>付款方式：合同签订且项目进度获发包人认可后支付工程总价款的10%预付款，首次计量款限额为100万元，后续计量不得少于50万元/次，少于50万元当月不计量，转入下月计量，按发包人审定的计量金额每次支付80%进度款，通过甲方竣工结算审结后，付至工程总价款的97%，余留工程总造价3%作为质量保修金，待缺陷责任期（两年）满后一个月内无息付清,每次支付工程进度款时，承包人需向发包人出具增值税专用发票。</w:t>
      </w:r>
    </w:p>
    <w:p w14:paraId="4ADB2237">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12.4.2</w:t>
      </w:r>
      <w:r>
        <w:rPr>
          <w:rFonts w:hint="eastAsia" w:ascii="仿宋" w:hAnsi="仿宋" w:eastAsia="仿宋" w:cs="仿宋"/>
          <w:sz w:val="28"/>
          <w:szCs w:val="28"/>
        </w:rPr>
        <w:t>进度付款申请单的编制</w:t>
      </w:r>
    </w:p>
    <w:p w14:paraId="25718EA5">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关于进度付款申请单编制的约定：</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4C716933">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r>
        <w:rPr>
          <w:rFonts w:hint="eastAsia" w:ascii="仿宋" w:hAnsi="仿宋" w:eastAsia="仿宋" w:cs="仿宋"/>
          <w:b/>
          <w:sz w:val="28"/>
          <w:szCs w:val="28"/>
        </w:rPr>
        <w:t>2.4.3</w:t>
      </w:r>
      <w:r>
        <w:rPr>
          <w:rFonts w:hint="eastAsia" w:ascii="仿宋" w:hAnsi="仿宋" w:eastAsia="仿宋" w:cs="仿宋"/>
          <w:sz w:val="28"/>
          <w:szCs w:val="28"/>
        </w:rPr>
        <w:t>进度付款申请单的提交</w:t>
      </w:r>
    </w:p>
    <w:p w14:paraId="2B521262">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（1）单价合同进度付款申请单提交的约定：</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2ED3E360">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（2）总价合同进度付款申请单提交的约定：</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7DE570F2">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（3）其他价格形式合同进度付款申请单提交的约定：</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58BC9579">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12.4.4</w:t>
      </w:r>
      <w:r>
        <w:rPr>
          <w:rFonts w:hint="eastAsia" w:ascii="仿宋" w:hAnsi="仿宋" w:eastAsia="仿宋" w:cs="仿宋"/>
          <w:sz w:val="28"/>
          <w:szCs w:val="28"/>
        </w:rPr>
        <w:t>进度款审核和支付</w:t>
      </w:r>
    </w:p>
    <w:p w14:paraId="296B7A7F">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（1）监理人审查并报送发包人的期限：</w:t>
      </w:r>
      <w:r>
        <w:rPr>
          <w:rFonts w:hint="eastAsia" w:ascii="仿宋" w:hAnsi="仿宋" w:eastAsia="仿宋" w:cs="仿宋"/>
          <w:sz w:val="28"/>
          <w:szCs w:val="28"/>
          <w:u w:val="single"/>
        </w:rPr>
        <w:t>15天</w:t>
      </w:r>
      <w:r>
        <w:rPr>
          <w:rFonts w:hint="eastAsia" w:ascii="仿宋" w:hAnsi="仿宋" w:eastAsia="仿宋" w:cs="仿宋"/>
          <w:sz w:val="28"/>
          <w:szCs w:val="28"/>
        </w:rPr>
        <w:t>。</w:t>
      </w:r>
    </w:p>
    <w:p w14:paraId="3C81D6D9">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发包人完成审批并签发进度款支付证书的期限：</w:t>
      </w:r>
      <w:r>
        <w:rPr>
          <w:rFonts w:hint="eastAsia" w:ascii="仿宋" w:hAnsi="仿宋" w:eastAsia="仿宋" w:cs="仿宋"/>
          <w:sz w:val="28"/>
          <w:szCs w:val="28"/>
          <w:u w:val="single"/>
        </w:rPr>
        <w:t>15天</w:t>
      </w:r>
      <w:r>
        <w:rPr>
          <w:rFonts w:hint="eastAsia" w:ascii="仿宋" w:hAnsi="仿宋" w:eastAsia="仿宋" w:cs="仿宋"/>
          <w:sz w:val="28"/>
          <w:szCs w:val="28"/>
        </w:rPr>
        <w:t>。</w:t>
      </w:r>
    </w:p>
    <w:p w14:paraId="0A1B7B22">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（2）发包人支付进度款的期限：</w:t>
      </w:r>
      <w:r>
        <w:rPr>
          <w:rFonts w:hint="eastAsia" w:ascii="仿宋" w:hAnsi="仿宋" w:eastAsia="仿宋" w:cs="仿宋"/>
          <w:sz w:val="28"/>
          <w:szCs w:val="28"/>
          <w:u w:val="single"/>
        </w:rPr>
        <w:t>发包人完成审批并签发进度款支付证书后10天内</w:t>
      </w:r>
      <w:r>
        <w:rPr>
          <w:rFonts w:hint="eastAsia" w:ascii="仿宋" w:hAnsi="仿宋" w:eastAsia="仿宋" w:cs="仿宋"/>
          <w:sz w:val="28"/>
          <w:szCs w:val="28"/>
        </w:rPr>
        <w:t>。</w:t>
      </w:r>
    </w:p>
    <w:p w14:paraId="37319991">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发包人逾期支付进度款的违约金的计算方式：</w:t>
      </w:r>
      <w:r>
        <w:rPr>
          <w:rFonts w:hint="eastAsia" w:ascii="仿宋" w:hAnsi="仿宋" w:eastAsia="仿宋" w:cs="仿宋"/>
          <w:sz w:val="28"/>
          <w:szCs w:val="28"/>
          <w:u w:val="single"/>
        </w:rPr>
        <w:t>发包人不依照本合同约定按期支付的和延期支付的工程进度款应按每延迟一天，发包人向承包人支付按中国人民银行同期贷款利率计算的利息，利息上限值不超过合同金额的2%，但下列两种情况不计息：a.因承包人未保证施工质量发包人而停止或部分减少支付的情况；b.属银行系统故障原因造成的延期支付情况</w:t>
      </w:r>
      <w:r>
        <w:rPr>
          <w:rFonts w:hint="eastAsia" w:ascii="仿宋" w:hAnsi="仿宋" w:eastAsia="仿宋" w:cs="仿宋"/>
          <w:sz w:val="28"/>
          <w:szCs w:val="28"/>
        </w:rPr>
        <w:t>。</w:t>
      </w:r>
    </w:p>
    <w:p w14:paraId="29AF066C">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12.4.6</w:t>
      </w:r>
      <w:r>
        <w:rPr>
          <w:rFonts w:hint="eastAsia" w:ascii="仿宋" w:hAnsi="仿宋" w:eastAsia="仿宋" w:cs="仿宋"/>
          <w:sz w:val="28"/>
          <w:szCs w:val="28"/>
        </w:rPr>
        <w:t>支付分解表的编制</w:t>
      </w:r>
    </w:p>
    <w:p w14:paraId="3B3AD214">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2、总价合同支付分解表的编制与审批：</w:t>
      </w:r>
      <w:r>
        <w:rPr>
          <w:rFonts w:hint="eastAsia" w:ascii="仿宋" w:hAnsi="仿宋" w:eastAsia="仿宋" w:cs="仿宋"/>
          <w:sz w:val="28"/>
          <w:szCs w:val="28"/>
          <w:u w:val="single"/>
        </w:rPr>
        <w:t>/</w:t>
      </w:r>
      <w:r>
        <w:rPr>
          <w:rFonts w:hint="eastAsia" w:ascii="仿宋" w:hAnsi="仿宋" w:eastAsia="仿宋" w:cs="仿宋"/>
          <w:sz w:val="28"/>
          <w:szCs w:val="28"/>
        </w:rPr>
        <w:t>。</w:t>
      </w:r>
    </w:p>
    <w:p w14:paraId="3F64D462">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3、单价合同的总价项目支付分解表的编制与审批：</w:t>
      </w:r>
      <w:r>
        <w:rPr>
          <w:rFonts w:hint="eastAsia" w:ascii="仿宋" w:hAnsi="仿宋" w:eastAsia="仿宋" w:cs="仿宋"/>
          <w:sz w:val="28"/>
          <w:szCs w:val="28"/>
          <w:u w:val="single"/>
        </w:rPr>
        <w:t>/</w:t>
      </w:r>
      <w:r>
        <w:rPr>
          <w:rFonts w:hint="eastAsia" w:ascii="仿宋" w:hAnsi="仿宋" w:eastAsia="仿宋" w:cs="仿宋"/>
          <w:sz w:val="28"/>
          <w:szCs w:val="28"/>
        </w:rPr>
        <w:t>。</w:t>
      </w:r>
    </w:p>
    <w:bookmarkEnd w:id="303"/>
    <w:p w14:paraId="39D39BAA">
      <w:pPr>
        <w:keepNext/>
        <w:keepLines/>
        <w:spacing w:line="360" w:lineRule="exact"/>
        <w:ind w:firstLine="562" w:firstLineChars="200"/>
        <w:outlineLvl w:val="3"/>
        <w:rPr>
          <w:rFonts w:ascii="仿宋" w:hAnsi="仿宋" w:eastAsia="仿宋" w:cs="仿宋"/>
          <w:bCs/>
          <w:sz w:val="28"/>
          <w:szCs w:val="28"/>
        </w:rPr>
      </w:pPr>
      <w:bookmarkStart w:id="452" w:name="_Toc351203645"/>
      <w:bookmarkStart w:id="453" w:name="_Toc296944558"/>
      <w:bookmarkStart w:id="454" w:name="_Toc296891259"/>
      <w:bookmarkStart w:id="455" w:name="_Toc296347218"/>
      <w:bookmarkStart w:id="456" w:name="_Toc292559929"/>
      <w:bookmarkStart w:id="457" w:name="_Toc296503219"/>
      <w:bookmarkStart w:id="458" w:name="_Toc304295593"/>
      <w:bookmarkStart w:id="459" w:name="_Toc296891047"/>
      <w:bookmarkStart w:id="460" w:name="_Toc296346720"/>
      <w:bookmarkStart w:id="461" w:name="_Toc297216223"/>
      <w:bookmarkStart w:id="462" w:name="_Toc297048405"/>
      <w:bookmarkStart w:id="463" w:name="_Toc292559424"/>
      <w:bookmarkStart w:id="464" w:name="_Toc297120519"/>
      <w:bookmarkStart w:id="465" w:name="_Toc297123564"/>
      <w:bookmarkStart w:id="466" w:name="_Toc300935015"/>
      <w:bookmarkStart w:id="467" w:name="_Toc303539172"/>
      <w:bookmarkStart w:id="468" w:name="_Toc312678053"/>
      <w:r>
        <w:rPr>
          <w:rFonts w:hint="eastAsia" w:ascii="仿宋" w:hAnsi="仿宋" w:eastAsia="仿宋" w:cs="仿宋"/>
          <w:b/>
          <w:bCs/>
          <w:sz w:val="28"/>
          <w:szCs w:val="28"/>
        </w:rPr>
        <w:t>13.</w:t>
      </w:r>
      <w:r>
        <w:rPr>
          <w:rFonts w:hint="eastAsia" w:ascii="仿宋" w:hAnsi="仿宋" w:eastAsia="仿宋" w:cs="仿宋"/>
          <w:bCs/>
          <w:sz w:val="28"/>
          <w:szCs w:val="28"/>
        </w:rPr>
        <w:t>验收和工程试车</w:t>
      </w:r>
      <w:bookmarkEnd w:id="452"/>
    </w:p>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14:paraId="140D77AB">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13.1</w:t>
      </w:r>
      <w:r>
        <w:rPr>
          <w:rFonts w:hint="eastAsia" w:ascii="仿宋" w:hAnsi="仿宋" w:eastAsia="仿宋" w:cs="仿宋"/>
          <w:sz w:val="28"/>
          <w:szCs w:val="28"/>
        </w:rPr>
        <w:t>分部分项工程验收</w:t>
      </w:r>
    </w:p>
    <w:p w14:paraId="34FB4811">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13.1.2</w:t>
      </w:r>
      <w:r>
        <w:rPr>
          <w:rFonts w:hint="eastAsia" w:ascii="仿宋" w:hAnsi="仿宋" w:eastAsia="仿宋" w:cs="仿宋"/>
          <w:sz w:val="28"/>
          <w:szCs w:val="28"/>
        </w:rPr>
        <w:t>监理人不能按时进行验收时，应提前</w:t>
      </w:r>
      <w:r>
        <w:rPr>
          <w:rFonts w:hint="eastAsia" w:ascii="仿宋" w:hAnsi="仿宋" w:eastAsia="仿宋" w:cs="仿宋"/>
          <w:sz w:val="28"/>
          <w:szCs w:val="28"/>
          <w:u w:val="single"/>
        </w:rPr>
        <w:t>24</w:t>
      </w:r>
      <w:r>
        <w:rPr>
          <w:rFonts w:hint="eastAsia" w:ascii="仿宋" w:hAnsi="仿宋" w:eastAsia="仿宋" w:cs="仿宋"/>
          <w:sz w:val="28"/>
          <w:szCs w:val="28"/>
        </w:rPr>
        <w:t>小时提交书面延期要求。</w:t>
      </w:r>
    </w:p>
    <w:p w14:paraId="23DCF7DB">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关于延期最长不得超过：</w:t>
      </w:r>
      <w:r>
        <w:rPr>
          <w:rFonts w:hint="eastAsia" w:ascii="仿宋" w:hAnsi="仿宋" w:eastAsia="仿宋" w:cs="仿宋"/>
          <w:sz w:val="28"/>
          <w:szCs w:val="28"/>
          <w:u w:val="single"/>
        </w:rPr>
        <w:t>48</w:t>
      </w:r>
      <w:r>
        <w:rPr>
          <w:rFonts w:hint="eastAsia" w:ascii="仿宋" w:hAnsi="仿宋" w:eastAsia="仿宋" w:cs="仿宋"/>
          <w:sz w:val="28"/>
          <w:szCs w:val="28"/>
        </w:rPr>
        <w:t>小时。</w:t>
      </w:r>
    </w:p>
    <w:p w14:paraId="20A58451">
      <w:pPr>
        <w:spacing w:line="360" w:lineRule="exact"/>
        <w:ind w:firstLine="562" w:firstLineChars="200"/>
        <w:rPr>
          <w:rFonts w:ascii="仿宋" w:hAnsi="仿宋" w:eastAsia="仿宋" w:cs="仿宋"/>
          <w:sz w:val="28"/>
          <w:szCs w:val="28"/>
        </w:rPr>
      </w:pPr>
      <w:bookmarkStart w:id="469" w:name="_Toc267251471"/>
      <w:bookmarkStart w:id="470" w:name="_Toc296347222"/>
      <w:bookmarkStart w:id="471" w:name="_Toc304295596"/>
      <w:bookmarkStart w:id="472" w:name="_Toc296891051"/>
      <w:bookmarkStart w:id="473" w:name="_Toc296503223"/>
      <w:bookmarkStart w:id="474" w:name="_Toc303539173"/>
      <w:bookmarkStart w:id="475" w:name="_Toc297048409"/>
      <w:bookmarkStart w:id="476" w:name="_Toc267251470"/>
      <w:bookmarkStart w:id="477" w:name="_Toc267251476"/>
      <w:bookmarkStart w:id="478" w:name="_Toc267251473"/>
      <w:bookmarkStart w:id="479" w:name="_Toc267251475"/>
      <w:bookmarkStart w:id="480" w:name="_Toc296944562"/>
      <w:bookmarkStart w:id="481" w:name="_Toc296346724"/>
      <w:bookmarkStart w:id="482" w:name="_Toc296891263"/>
      <w:bookmarkStart w:id="483" w:name="_Toc267251474"/>
      <w:bookmarkStart w:id="484" w:name="_Toc312678056"/>
      <w:bookmarkStart w:id="485" w:name="_Toc297120523"/>
      <w:bookmarkStart w:id="486" w:name="_Toc300935016"/>
      <w:bookmarkStart w:id="487" w:name="_Toc292559933"/>
      <w:bookmarkStart w:id="488" w:name="_Toc267251472"/>
      <w:bookmarkStart w:id="489" w:name="_Toc292559428"/>
      <w:bookmarkStart w:id="490" w:name="_Toc297216224"/>
      <w:bookmarkStart w:id="491" w:name="_Toc297123565"/>
      <w:r>
        <w:rPr>
          <w:rFonts w:hint="eastAsia" w:ascii="仿宋" w:hAnsi="仿宋" w:eastAsia="仿宋" w:cs="仿宋"/>
          <w:b/>
          <w:sz w:val="28"/>
          <w:szCs w:val="28"/>
        </w:rPr>
        <w:t>13.2</w:t>
      </w:r>
      <w:r>
        <w:rPr>
          <w:rFonts w:hint="eastAsia" w:ascii="仿宋" w:hAnsi="仿宋" w:eastAsia="仿宋" w:cs="仿宋"/>
          <w:sz w:val="28"/>
          <w:szCs w:val="28"/>
        </w:rPr>
        <w:t>竣工验收</w:t>
      </w:r>
    </w:p>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p w14:paraId="6A5BA2EE">
      <w:pPr>
        <w:spacing w:line="360" w:lineRule="exact"/>
        <w:ind w:firstLine="562" w:firstLineChars="200"/>
        <w:jc w:val="left"/>
        <w:rPr>
          <w:rFonts w:ascii="仿宋" w:hAnsi="仿宋" w:eastAsia="仿宋" w:cs="仿宋"/>
          <w:sz w:val="28"/>
          <w:szCs w:val="28"/>
        </w:rPr>
      </w:pPr>
      <w:bookmarkStart w:id="492" w:name="_Toc280868704"/>
      <w:bookmarkStart w:id="493" w:name="_Toc280868705"/>
      <w:bookmarkStart w:id="494" w:name="_Toc280868706"/>
      <w:bookmarkStart w:id="495" w:name="_Toc280868707"/>
      <w:bookmarkStart w:id="496" w:name="_Toc280868708"/>
      <w:bookmarkStart w:id="497" w:name="_Toc280868709"/>
      <w:bookmarkStart w:id="498" w:name="_Toc267251503"/>
      <w:bookmarkStart w:id="499" w:name="_Toc267251497"/>
      <w:bookmarkStart w:id="500" w:name="_Toc267251493"/>
      <w:bookmarkStart w:id="501" w:name="_Toc267251501"/>
      <w:bookmarkStart w:id="502" w:name="_Toc267251495"/>
      <w:bookmarkStart w:id="503" w:name="_Toc267251502"/>
      <w:bookmarkStart w:id="504" w:name="_Toc267251498"/>
      <w:bookmarkStart w:id="505" w:name="_Toc267251499"/>
      <w:bookmarkStart w:id="506" w:name="_Toc267251496"/>
      <w:bookmarkStart w:id="507" w:name="_Toc267251492"/>
      <w:bookmarkStart w:id="508" w:name="_Toc267251491"/>
      <w:bookmarkStart w:id="509" w:name="_Toc267251494"/>
      <w:bookmarkStart w:id="510" w:name="_Toc267251504"/>
      <w:bookmarkStart w:id="511" w:name="_Toc267251506"/>
      <w:bookmarkStart w:id="512" w:name="_Toc267251508"/>
      <w:bookmarkStart w:id="513" w:name="_Toc267251507"/>
      <w:r>
        <w:rPr>
          <w:rFonts w:hint="eastAsia" w:ascii="仿宋" w:hAnsi="仿宋" w:eastAsia="仿宋" w:cs="仿宋"/>
          <w:b/>
          <w:sz w:val="28"/>
          <w:szCs w:val="28"/>
        </w:rPr>
        <w:t>13.2.2</w:t>
      </w:r>
      <w:r>
        <w:rPr>
          <w:rFonts w:hint="eastAsia" w:ascii="仿宋" w:hAnsi="仿宋" w:eastAsia="仿宋" w:cs="仿宋"/>
          <w:sz w:val="28"/>
          <w:szCs w:val="28"/>
        </w:rPr>
        <w:t>竣工验收程序</w:t>
      </w:r>
    </w:p>
    <w:bookmarkEnd w:id="492"/>
    <w:p w14:paraId="6AD0F4E8">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关于竣工验收程序的约定：</w:t>
      </w:r>
      <w:r>
        <w:rPr>
          <w:rFonts w:hint="eastAsia" w:ascii="仿宋" w:hAnsi="仿宋" w:eastAsia="仿宋" w:cs="仿宋"/>
          <w:color w:val="FF0000"/>
          <w:sz w:val="28"/>
          <w:szCs w:val="28"/>
          <w:u w:val="single"/>
        </w:rPr>
        <w:t>阶段性验收在水电改造完成、墙面地面施工完成等节点进行，竣工验收在整个工程完工后进行。验收应由甲方、监理公司和乙方共同进行，如发现质量问题，乙方应及时整改，直到验收合格为止。</w:t>
      </w:r>
      <w:r>
        <w:rPr>
          <w:rFonts w:hint="eastAsia" w:ascii="仿宋" w:hAnsi="仿宋" w:eastAsia="仿宋" w:cs="仿宋"/>
          <w:kern w:val="0"/>
          <w:sz w:val="28"/>
          <w:szCs w:val="28"/>
          <w:u w:val="single"/>
        </w:rPr>
        <w:t>若因承包人原因造成工程在完工后三个月内无法验收，则视为承包人违约，每延误一天，处以承包人</w:t>
      </w:r>
      <w:r>
        <w:rPr>
          <w:rFonts w:hint="eastAsia" w:ascii="仿宋" w:hAnsi="仿宋" w:eastAsia="仿宋" w:cs="仿宋"/>
          <w:kern w:val="0"/>
          <w:sz w:val="28"/>
          <w:szCs w:val="28"/>
          <w:u w:val="single"/>
          <w:lang w:val="en-US" w:eastAsia="zh-CN"/>
        </w:rPr>
        <w:t>1</w:t>
      </w:r>
      <w:r>
        <w:rPr>
          <w:rFonts w:hint="eastAsia" w:ascii="仿宋" w:hAnsi="仿宋" w:eastAsia="仿宋" w:cs="仿宋"/>
          <w:kern w:val="0"/>
          <w:sz w:val="28"/>
          <w:szCs w:val="28"/>
          <w:u w:val="single"/>
        </w:rPr>
        <w:t>0000元的违约金，该项违约金上限值为签约合同价的</w:t>
      </w:r>
      <w:r>
        <w:rPr>
          <w:rFonts w:hint="eastAsia" w:ascii="仿宋" w:hAnsi="仿宋" w:eastAsia="仿宋" w:cs="仿宋"/>
          <w:kern w:val="0"/>
          <w:sz w:val="28"/>
          <w:szCs w:val="28"/>
          <w:u w:val="single"/>
          <w:lang w:val="en-US" w:eastAsia="zh-CN"/>
        </w:rPr>
        <w:t>10</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5B2797F3">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发包人不按照本项约定组织竣工验收、颁发工程接收证书的违约金的计算方法：</w:t>
      </w:r>
      <w:r>
        <w:rPr>
          <w:rFonts w:hint="eastAsia" w:ascii="仿宋" w:hAnsi="仿宋" w:eastAsia="仿宋" w:cs="仿宋"/>
          <w:sz w:val="28"/>
          <w:szCs w:val="28"/>
          <w:u w:val="single"/>
        </w:rPr>
        <w:t>/</w:t>
      </w:r>
      <w:r>
        <w:rPr>
          <w:rFonts w:hint="eastAsia" w:ascii="仿宋" w:hAnsi="仿宋" w:eastAsia="仿宋" w:cs="仿宋"/>
          <w:sz w:val="28"/>
          <w:szCs w:val="28"/>
        </w:rPr>
        <w:t>。</w:t>
      </w:r>
    </w:p>
    <w:bookmarkEnd w:id="493"/>
    <w:p w14:paraId="373B507A">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13.2.5</w:t>
      </w:r>
      <w:r>
        <w:rPr>
          <w:rFonts w:hint="eastAsia" w:ascii="仿宋" w:hAnsi="仿宋" w:eastAsia="仿宋" w:cs="仿宋"/>
          <w:sz w:val="28"/>
          <w:szCs w:val="28"/>
        </w:rPr>
        <w:t>移交、接收全部与部分工程</w:t>
      </w:r>
    </w:p>
    <w:bookmarkEnd w:id="494"/>
    <w:p w14:paraId="7F7ED790">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kern w:val="0"/>
          <w:sz w:val="28"/>
          <w:szCs w:val="28"/>
        </w:rPr>
        <w:t>承包人向发包人移交工程的期限：</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7828F404">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kern w:val="0"/>
          <w:sz w:val="28"/>
          <w:szCs w:val="28"/>
        </w:rPr>
        <w:t>发包人未按本合同约定接收全部或部分工程的，违约金的计算方法为：</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bookmarkEnd w:id="495"/>
    <w:p w14:paraId="011EBB46">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承包人未按时移交工程的，违约金的计算方法为：</w:t>
      </w:r>
      <w:r>
        <w:rPr>
          <w:rFonts w:hint="eastAsia" w:ascii="仿宋" w:hAnsi="仿宋" w:eastAsia="仿宋" w:cs="仿宋"/>
          <w:sz w:val="28"/>
          <w:szCs w:val="28"/>
          <w:u w:val="single"/>
        </w:rPr>
        <w:t>每推迟一天处承包人人民币</w:t>
      </w: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rPr>
        <w:t>万元的违约金，该项违约金上限为签约合同价的</w:t>
      </w:r>
      <w:r>
        <w:rPr>
          <w:rFonts w:hint="eastAsia" w:ascii="仿宋" w:hAnsi="仿宋" w:eastAsia="仿宋" w:cs="仿宋"/>
          <w:sz w:val="28"/>
          <w:szCs w:val="28"/>
          <w:u w:val="single"/>
          <w:lang w:val="en-US" w:eastAsia="zh-CN"/>
        </w:rPr>
        <w:t>10</w:t>
      </w:r>
      <w:r>
        <w:rPr>
          <w:rFonts w:hint="eastAsia" w:ascii="仿宋" w:hAnsi="仿宋" w:eastAsia="仿宋" w:cs="仿宋"/>
          <w:sz w:val="28"/>
          <w:szCs w:val="28"/>
          <w:u w:val="single"/>
        </w:rPr>
        <w:t>%</w:t>
      </w:r>
      <w:r>
        <w:rPr>
          <w:rFonts w:hint="eastAsia" w:ascii="仿宋" w:hAnsi="仿宋" w:eastAsia="仿宋" w:cs="仿宋"/>
          <w:sz w:val="28"/>
          <w:szCs w:val="28"/>
        </w:rPr>
        <w:t>。</w:t>
      </w:r>
    </w:p>
    <w:p w14:paraId="7ABC0348">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13.3</w:t>
      </w:r>
      <w:r>
        <w:rPr>
          <w:rFonts w:hint="eastAsia" w:ascii="仿宋" w:hAnsi="仿宋" w:eastAsia="仿宋" w:cs="仿宋"/>
          <w:sz w:val="28"/>
          <w:szCs w:val="28"/>
        </w:rPr>
        <w:t>工程试车</w:t>
      </w:r>
    </w:p>
    <w:bookmarkEnd w:id="496"/>
    <w:p w14:paraId="1850CF54">
      <w:pPr>
        <w:spacing w:line="360" w:lineRule="exact"/>
        <w:ind w:firstLine="562" w:firstLineChars="200"/>
        <w:jc w:val="left"/>
        <w:rPr>
          <w:rFonts w:ascii="仿宋" w:hAnsi="仿宋" w:eastAsia="仿宋" w:cs="仿宋"/>
          <w:kern w:val="0"/>
          <w:sz w:val="28"/>
          <w:szCs w:val="28"/>
        </w:rPr>
      </w:pPr>
      <w:r>
        <w:rPr>
          <w:rFonts w:hint="eastAsia" w:ascii="仿宋" w:hAnsi="仿宋" w:eastAsia="仿宋" w:cs="仿宋"/>
          <w:b/>
          <w:kern w:val="0"/>
          <w:sz w:val="28"/>
          <w:szCs w:val="28"/>
        </w:rPr>
        <w:t>13.3.1</w:t>
      </w:r>
      <w:r>
        <w:rPr>
          <w:rFonts w:hint="eastAsia" w:ascii="仿宋" w:hAnsi="仿宋" w:eastAsia="仿宋" w:cs="仿宋"/>
          <w:kern w:val="0"/>
          <w:sz w:val="28"/>
          <w:szCs w:val="28"/>
        </w:rPr>
        <w:t>试车程序</w:t>
      </w:r>
    </w:p>
    <w:p w14:paraId="499787AC">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工程试车内容：</w:t>
      </w:r>
      <w:r>
        <w:rPr>
          <w:rFonts w:hint="eastAsia" w:ascii="仿宋" w:hAnsi="仿宋" w:eastAsia="仿宋" w:cs="仿宋"/>
          <w:sz w:val="28"/>
          <w:szCs w:val="28"/>
          <w:u w:val="single"/>
        </w:rPr>
        <w:t>/</w:t>
      </w:r>
      <w:r>
        <w:rPr>
          <w:rFonts w:hint="eastAsia" w:ascii="仿宋" w:hAnsi="仿宋" w:eastAsia="仿宋" w:cs="仿宋"/>
          <w:sz w:val="28"/>
          <w:szCs w:val="28"/>
        </w:rPr>
        <w:t>。</w:t>
      </w:r>
    </w:p>
    <w:p w14:paraId="13C2B4FB">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（1）单机无负荷试车费用由</w:t>
      </w:r>
      <w:r>
        <w:rPr>
          <w:rFonts w:hint="eastAsia" w:ascii="仿宋" w:hAnsi="仿宋" w:eastAsia="仿宋" w:cs="仿宋"/>
          <w:sz w:val="28"/>
          <w:szCs w:val="28"/>
          <w:u w:val="single"/>
        </w:rPr>
        <w:t>/</w:t>
      </w:r>
      <w:r>
        <w:rPr>
          <w:rFonts w:hint="eastAsia" w:ascii="仿宋" w:hAnsi="仿宋" w:eastAsia="仿宋" w:cs="仿宋"/>
          <w:kern w:val="0"/>
          <w:sz w:val="28"/>
          <w:szCs w:val="28"/>
        </w:rPr>
        <w:t>承担；</w:t>
      </w:r>
    </w:p>
    <w:p w14:paraId="68CA03B7">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（2）无负荷联动试车费用由</w:t>
      </w:r>
      <w:r>
        <w:rPr>
          <w:rFonts w:hint="eastAsia" w:ascii="仿宋" w:hAnsi="仿宋" w:eastAsia="仿宋" w:cs="仿宋"/>
          <w:sz w:val="28"/>
          <w:szCs w:val="28"/>
          <w:u w:val="single"/>
        </w:rPr>
        <w:t>/</w:t>
      </w:r>
      <w:r>
        <w:rPr>
          <w:rFonts w:hint="eastAsia" w:ascii="仿宋" w:hAnsi="仿宋" w:eastAsia="仿宋" w:cs="仿宋"/>
          <w:kern w:val="0"/>
          <w:sz w:val="28"/>
          <w:szCs w:val="28"/>
        </w:rPr>
        <w:t>承担。</w:t>
      </w:r>
    </w:p>
    <w:p w14:paraId="00F52F98">
      <w:pPr>
        <w:spacing w:line="360" w:lineRule="exact"/>
        <w:ind w:firstLine="562" w:firstLineChars="200"/>
        <w:jc w:val="left"/>
        <w:rPr>
          <w:rFonts w:ascii="仿宋" w:hAnsi="仿宋" w:eastAsia="仿宋" w:cs="仿宋"/>
          <w:kern w:val="0"/>
          <w:sz w:val="28"/>
          <w:szCs w:val="28"/>
        </w:rPr>
      </w:pPr>
      <w:r>
        <w:rPr>
          <w:rFonts w:hint="eastAsia" w:ascii="仿宋" w:hAnsi="仿宋" w:eastAsia="仿宋" w:cs="仿宋"/>
          <w:b/>
          <w:kern w:val="0"/>
          <w:sz w:val="28"/>
          <w:szCs w:val="28"/>
        </w:rPr>
        <w:t>13.3.3</w:t>
      </w:r>
      <w:r>
        <w:rPr>
          <w:rFonts w:hint="eastAsia" w:ascii="仿宋" w:hAnsi="仿宋" w:eastAsia="仿宋" w:cs="仿宋"/>
          <w:kern w:val="0"/>
          <w:sz w:val="28"/>
          <w:szCs w:val="28"/>
        </w:rPr>
        <w:t>投料试车</w:t>
      </w:r>
    </w:p>
    <w:p w14:paraId="08D26259">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关于投料试车相关事项的约定：</w:t>
      </w:r>
      <w:r>
        <w:rPr>
          <w:rFonts w:hint="eastAsia" w:ascii="仿宋" w:hAnsi="仿宋" w:eastAsia="仿宋" w:cs="仿宋"/>
          <w:sz w:val="28"/>
          <w:szCs w:val="28"/>
          <w:u w:val="single"/>
        </w:rPr>
        <w:t>/</w:t>
      </w:r>
      <w:r>
        <w:rPr>
          <w:rFonts w:hint="eastAsia" w:ascii="仿宋" w:hAnsi="仿宋" w:eastAsia="仿宋" w:cs="仿宋"/>
          <w:sz w:val="28"/>
          <w:szCs w:val="28"/>
        </w:rPr>
        <w:t>。</w:t>
      </w:r>
    </w:p>
    <w:p w14:paraId="40C26746">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13.6</w:t>
      </w:r>
      <w:r>
        <w:rPr>
          <w:rFonts w:hint="eastAsia" w:ascii="仿宋" w:hAnsi="仿宋" w:eastAsia="仿宋" w:cs="仿宋"/>
          <w:sz w:val="28"/>
          <w:szCs w:val="28"/>
        </w:rPr>
        <w:t>竣工退场</w:t>
      </w:r>
    </w:p>
    <w:p w14:paraId="04E696C1">
      <w:pPr>
        <w:spacing w:line="360" w:lineRule="exact"/>
        <w:ind w:firstLine="562" w:firstLineChars="200"/>
        <w:jc w:val="left"/>
        <w:rPr>
          <w:rFonts w:ascii="仿宋" w:hAnsi="仿宋" w:eastAsia="仿宋" w:cs="仿宋"/>
          <w:kern w:val="0"/>
          <w:sz w:val="28"/>
          <w:szCs w:val="28"/>
        </w:rPr>
      </w:pPr>
      <w:r>
        <w:rPr>
          <w:rFonts w:hint="eastAsia" w:ascii="仿宋" w:hAnsi="仿宋" w:eastAsia="仿宋" w:cs="仿宋"/>
          <w:b/>
          <w:kern w:val="0"/>
          <w:sz w:val="28"/>
          <w:szCs w:val="28"/>
        </w:rPr>
        <w:t>13.6.1</w:t>
      </w:r>
      <w:r>
        <w:rPr>
          <w:rFonts w:hint="eastAsia" w:ascii="仿宋" w:hAnsi="仿宋" w:eastAsia="仿宋" w:cs="仿宋"/>
          <w:kern w:val="0"/>
          <w:sz w:val="28"/>
          <w:szCs w:val="28"/>
        </w:rPr>
        <w:t>竣工退场</w:t>
      </w:r>
    </w:p>
    <w:p w14:paraId="648347FB">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承包人完成竣工退场的期限：</w:t>
      </w:r>
      <w:r>
        <w:rPr>
          <w:rFonts w:hint="eastAsia" w:ascii="仿宋" w:hAnsi="仿宋" w:eastAsia="仿宋" w:cs="仿宋"/>
          <w:sz w:val="28"/>
          <w:szCs w:val="28"/>
          <w:u w:val="single"/>
        </w:rPr>
        <w:t>竣工验收合格后10日内</w:t>
      </w:r>
      <w:r>
        <w:rPr>
          <w:rFonts w:hint="eastAsia" w:ascii="仿宋" w:hAnsi="仿宋" w:eastAsia="仿宋" w:cs="仿宋"/>
          <w:sz w:val="28"/>
          <w:szCs w:val="28"/>
        </w:rPr>
        <w:t>。</w:t>
      </w:r>
    </w:p>
    <w:p w14:paraId="5CF2A21E">
      <w:pPr>
        <w:keepNext/>
        <w:keepLines/>
        <w:spacing w:line="360" w:lineRule="exact"/>
        <w:ind w:firstLine="562" w:firstLineChars="200"/>
        <w:outlineLvl w:val="3"/>
        <w:rPr>
          <w:rFonts w:ascii="仿宋" w:hAnsi="仿宋" w:eastAsia="仿宋" w:cs="仿宋"/>
          <w:bCs/>
          <w:sz w:val="28"/>
          <w:szCs w:val="28"/>
        </w:rPr>
      </w:pPr>
      <w:bookmarkStart w:id="514" w:name="_Toc351203646"/>
      <w:r>
        <w:rPr>
          <w:rFonts w:hint="eastAsia" w:ascii="仿宋" w:hAnsi="仿宋" w:eastAsia="仿宋" w:cs="仿宋"/>
          <w:b/>
          <w:bCs/>
          <w:sz w:val="28"/>
          <w:szCs w:val="28"/>
        </w:rPr>
        <w:t>14.</w:t>
      </w:r>
      <w:r>
        <w:rPr>
          <w:rFonts w:hint="eastAsia" w:ascii="仿宋" w:hAnsi="仿宋" w:eastAsia="仿宋" w:cs="仿宋"/>
          <w:bCs/>
          <w:sz w:val="28"/>
          <w:szCs w:val="28"/>
        </w:rPr>
        <w:t>竣工结算</w:t>
      </w:r>
      <w:bookmarkEnd w:id="514"/>
    </w:p>
    <w:p w14:paraId="7FAFFADE">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14.1</w:t>
      </w:r>
      <w:r>
        <w:rPr>
          <w:rFonts w:hint="eastAsia" w:ascii="仿宋" w:hAnsi="仿宋" w:eastAsia="仿宋" w:cs="仿宋"/>
          <w:sz w:val="28"/>
          <w:szCs w:val="28"/>
        </w:rPr>
        <w:t>竣工付款申请</w:t>
      </w:r>
    </w:p>
    <w:p w14:paraId="3FB5761A">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承包人提交竣工付款申请单的期限：</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68DCBB58">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竣工付款申请单应包括的内容：</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60BFD13E">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14.2</w:t>
      </w:r>
      <w:r>
        <w:rPr>
          <w:rFonts w:hint="eastAsia" w:ascii="仿宋" w:hAnsi="仿宋" w:eastAsia="仿宋" w:cs="仿宋"/>
          <w:sz w:val="28"/>
          <w:szCs w:val="28"/>
        </w:rPr>
        <w:t>竣工结算审核</w:t>
      </w:r>
    </w:p>
    <w:p w14:paraId="3D71354E">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发包人审批竣工付款申请单的期限：</w:t>
      </w:r>
      <w:r>
        <w:rPr>
          <w:rFonts w:hint="eastAsia" w:ascii="仿宋" w:hAnsi="仿宋" w:eastAsia="仿宋" w:cs="仿宋"/>
          <w:sz w:val="28"/>
          <w:szCs w:val="28"/>
          <w:u w:val="single"/>
        </w:rPr>
        <w:t>发包人在收到承包人工程结算书（按发包要求编制并经发包人签收）后3个月内审核完毕并将审核意见反馈给承包人，如承包人对结算审核报告无异议的，双方进行书面确认；工</w:t>
      </w:r>
      <w:bookmarkStart w:id="721" w:name="_GoBack"/>
      <w:r>
        <w:rPr>
          <w:rFonts w:hint="eastAsia" w:ascii="仿宋" w:hAnsi="仿宋" w:eastAsia="仿宋" w:cs="仿宋"/>
          <w:sz w:val="28"/>
          <w:szCs w:val="28"/>
          <w:u w:val="single"/>
        </w:rPr>
        <w:t>程计量以设计图和工程量清单为依据，决算以双方核实认可并报监管部门</w:t>
      </w:r>
      <w:bookmarkEnd w:id="721"/>
      <w:r>
        <w:rPr>
          <w:rFonts w:hint="eastAsia" w:ascii="仿宋" w:hAnsi="仿宋" w:eastAsia="仿宋" w:cs="仿宋"/>
          <w:sz w:val="28"/>
          <w:szCs w:val="28"/>
          <w:u w:val="single"/>
        </w:rPr>
        <w:t>批准的竣工结算为依据，最终以</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审核为准</w:t>
      </w:r>
      <w:r>
        <w:rPr>
          <w:rFonts w:hint="eastAsia" w:ascii="仿宋" w:hAnsi="仿宋" w:eastAsia="仿宋" w:cs="仿宋"/>
          <w:sz w:val="28"/>
          <w:szCs w:val="28"/>
        </w:rPr>
        <w:t>。</w:t>
      </w:r>
    </w:p>
    <w:p w14:paraId="6FA3FFC5">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发包人完成竣工付款的期限：</w:t>
      </w:r>
      <w:r>
        <w:rPr>
          <w:rFonts w:hint="eastAsia" w:ascii="仿宋" w:hAnsi="仿宋" w:eastAsia="仿宋" w:cs="仿宋"/>
          <w:sz w:val="28"/>
          <w:szCs w:val="28"/>
          <w:u w:val="single"/>
        </w:rPr>
        <w:t>/</w:t>
      </w:r>
      <w:r>
        <w:rPr>
          <w:rFonts w:hint="eastAsia" w:ascii="仿宋" w:hAnsi="仿宋" w:eastAsia="仿宋" w:cs="仿宋"/>
          <w:sz w:val="28"/>
          <w:szCs w:val="28"/>
        </w:rPr>
        <w:t>。</w:t>
      </w:r>
    </w:p>
    <w:p w14:paraId="6253B45F">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关于竣工付款证书异议部分复核的方式和程序：</w:t>
      </w:r>
      <w:r>
        <w:rPr>
          <w:rFonts w:hint="eastAsia" w:ascii="仿宋" w:hAnsi="仿宋" w:eastAsia="仿宋" w:cs="仿宋"/>
          <w:sz w:val="28"/>
          <w:szCs w:val="28"/>
          <w:u w:val="single"/>
        </w:rPr>
        <w:t>发包人在收到承包人工程结算书（按发包要求编制并经发包人签收）后3个月内审核完毕并将审核意见反馈给承包人，如承包人对结算审核报告无异议的，双方进行书面确认；如有异议的，双方协商解决，仍不能达成一致的，按争议解决方式处理</w:t>
      </w:r>
      <w:r>
        <w:rPr>
          <w:rFonts w:hint="eastAsia" w:ascii="仿宋" w:hAnsi="仿宋" w:eastAsia="仿宋" w:cs="仿宋"/>
          <w:sz w:val="28"/>
          <w:szCs w:val="28"/>
        </w:rPr>
        <w:t>。</w:t>
      </w:r>
    </w:p>
    <w:p w14:paraId="776C58CF">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14.4</w:t>
      </w:r>
      <w:r>
        <w:rPr>
          <w:rFonts w:hint="eastAsia" w:ascii="仿宋" w:hAnsi="仿宋" w:eastAsia="仿宋" w:cs="仿宋"/>
          <w:sz w:val="28"/>
          <w:szCs w:val="28"/>
        </w:rPr>
        <w:t>最终结清</w:t>
      </w:r>
    </w:p>
    <w:p w14:paraId="1A8F2758">
      <w:pPr>
        <w:spacing w:line="360" w:lineRule="exact"/>
        <w:ind w:firstLine="562" w:firstLineChars="200"/>
        <w:jc w:val="left"/>
        <w:rPr>
          <w:rFonts w:ascii="仿宋" w:hAnsi="仿宋" w:eastAsia="仿宋" w:cs="仿宋"/>
          <w:kern w:val="0"/>
          <w:sz w:val="28"/>
          <w:szCs w:val="28"/>
        </w:rPr>
      </w:pPr>
      <w:r>
        <w:rPr>
          <w:rFonts w:hint="eastAsia" w:ascii="仿宋" w:hAnsi="仿宋" w:eastAsia="仿宋" w:cs="仿宋"/>
          <w:b/>
          <w:kern w:val="0"/>
          <w:sz w:val="28"/>
          <w:szCs w:val="28"/>
        </w:rPr>
        <w:t>14.4.1</w:t>
      </w:r>
      <w:r>
        <w:rPr>
          <w:rFonts w:hint="eastAsia" w:ascii="仿宋" w:hAnsi="仿宋" w:eastAsia="仿宋" w:cs="仿宋"/>
          <w:kern w:val="0"/>
          <w:sz w:val="28"/>
          <w:szCs w:val="28"/>
        </w:rPr>
        <w:t>最终结清申请单</w:t>
      </w:r>
    </w:p>
    <w:p w14:paraId="44140EDF">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承包人提交最终结清申请单的份数：</w:t>
      </w:r>
      <w:r>
        <w:rPr>
          <w:rFonts w:hint="eastAsia" w:ascii="仿宋" w:hAnsi="仿宋" w:eastAsia="仿宋" w:cs="仿宋"/>
          <w:sz w:val="28"/>
          <w:szCs w:val="28"/>
          <w:u w:val="single"/>
        </w:rPr>
        <w:t>一式肆份</w:t>
      </w:r>
      <w:r>
        <w:rPr>
          <w:rFonts w:hint="eastAsia" w:ascii="仿宋" w:hAnsi="仿宋" w:eastAsia="仿宋" w:cs="仿宋"/>
          <w:sz w:val="28"/>
          <w:szCs w:val="28"/>
        </w:rPr>
        <w:t>。</w:t>
      </w:r>
    </w:p>
    <w:p w14:paraId="7FD1A919">
      <w:pPr>
        <w:spacing w:line="360" w:lineRule="exact"/>
        <w:ind w:firstLine="560" w:firstLineChars="200"/>
        <w:jc w:val="left"/>
        <w:rPr>
          <w:rFonts w:ascii="仿宋" w:hAnsi="仿宋" w:eastAsia="仿宋" w:cs="仿宋"/>
          <w:sz w:val="28"/>
          <w:szCs w:val="28"/>
        </w:rPr>
      </w:pPr>
      <w:r>
        <w:rPr>
          <w:rFonts w:hint="eastAsia" w:ascii="仿宋" w:hAnsi="仿宋" w:eastAsia="仿宋" w:cs="仿宋"/>
          <w:kern w:val="0"/>
          <w:sz w:val="28"/>
          <w:szCs w:val="28"/>
        </w:rPr>
        <w:t>承包人提交最终结算申请单的期限：</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386D914C">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14.4.2</w:t>
      </w:r>
      <w:r>
        <w:rPr>
          <w:rFonts w:hint="eastAsia" w:ascii="仿宋" w:hAnsi="仿宋" w:eastAsia="仿宋" w:cs="仿宋"/>
          <w:sz w:val="28"/>
          <w:szCs w:val="28"/>
        </w:rPr>
        <w:t>最终结清证书和支付</w:t>
      </w:r>
    </w:p>
    <w:p w14:paraId="623D024C">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（1）发包人完成最终结清申请单的审批并颁发最终结清证书的期限：</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p w14:paraId="2889987A">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（2）发包人完成支付的期限：</w:t>
      </w:r>
      <w:r>
        <w:rPr>
          <w:rFonts w:hint="eastAsia" w:ascii="仿宋" w:hAnsi="仿宋" w:eastAsia="仿宋" w:cs="仿宋"/>
          <w:sz w:val="28"/>
          <w:szCs w:val="28"/>
          <w:u w:val="single"/>
        </w:rPr>
        <w:t>按通用合同条款执行</w:t>
      </w:r>
      <w:r>
        <w:rPr>
          <w:rFonts w:hint="eastAsia" w:ascii="仿宋" w:hAnsi="仿宋" w:eastAsia="仿宋" w:cs="仿宋"/>
          <w:sz w:val="28"/>
          <w:szCs w:val="28"/>
        </w:rPr>
        <w:t>。</w:t>
      </w:r>
    </w:p>
    <w:bookmarkEnd w:id="497"/>
    <w:p w14:paraId="7AB61894">
      <w:pPr>
        <w:keepNext/>
        <w:keepLines/>
        <w:spacing w:line="360" w:lineRule="exact"/>
        <w:ind w:firstLine="562" w:firstLineChars="200"/>
        <w:outlineLvl w:val="3"/>
        <w:rPr>
          <w:rFonts w:ascii="仿宋" w:hAnsi="仿宋" w:eastAsia="仿宋" w:cs="仿宋"/>
          <w:bCs/>
          <w:sz w:val="28"/>
          <w:szCs w:val="28"/>
        </w:rPr>
      </w:pPr>
      <w:bookmarkStart w:id="515" w:name="_Toc351203647"/>
      <w:bookmarkStart w:id="516" w:name="_Toc267251483"/>
      <w:bookmarkStart w:id="517" w:name="_Toc267251482"/>
      <w:bookmarkStart w:id="518" w:name="_Toc267251484"/>
      <w:bookmarkStart w:id="519" w:name="_Toc267251485"/>
      <w:bookmarkStart w:id="520" w:name="_Toc267251489"/>
      <w:bookmarkStart w:id="521" w:name="_Toc267251486"/>
      <w:bookmarkStart w:id="522" w:name="_Toc267251490"/>
      <w:bookmarkStart w:id="523" w:name="_Toc267251488"/>
      <w:r>
        <w:rPr>
          <w:rFonts w:hint="eastAsia" w:ascii="仿宋" w:hAnsi="仿宋" w:eastAsia="仿宋" w:cs="仿宋"/>
          <w:b/>
          <w:bCs/>
          <w:sz w:val="28"/>
          <w:szCs w:val="28"/>
        </w:rPr>
        <w:t>15.</w:t>
      </w:r>
      <w:r>
        <w:rPr>
          <w:rFonts w:hint="eastAsia" w:ascii="仿宋" w:hAnsi="仿宋" w:eastAsia="仿宋" w:cs="仿宋"/>
          <w:bCs/>
          <w:sz w:val="28"/>
          <w:szCs w:val="28"/>
        </w:rPr>
        <w:t>缺陷责任期与保修</w:t>
      </w:r>
      <w:bookmarkEnd w:id="515"/>
    </w:p>
    <w:p w14:paraId="4B9BFE71">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15.2</w:t>
      </w:r>
      <w:r>
        <w:rPr>
          <w:rFonts w:hint="eastAsia" w:ascii="仿宋" w:hAnsi="仿宋" w:eastAsia="仿宋" w:cs="仿宋"/>
          <w:sz w:val="28"/>
          <w:szCs w:val="28"/>
        </w:rPr>
        <w:t>缺陷责任期</w:t>
      </w:r>
      <w:bookmarkEnd w:id="516"/>
    </w:p>
    <w:p w14:paraId="0B9362B8">
      <w:pPr>
        <w:tabs>
          <w:tab w:val="left" w:pos="7425"/>
        </w:tabs>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缺陷责任期的具体期限：</w:t>
      </w:r>
      <w:r>
        <w:rPr>
          <w:rFonts w:hint="eastAsia" w:ascii="仿宋" w:hAnsi="仿宋" w:eastAsia="仿宋" w:cs="仿宋"/>
          <w:sz w:val="28"/>
          <w:szCs w:val="28"/>
          <w:u w:val="single"/>
        </w:rPr>
        <w:t>24个月</w:t>
      </w:r>
      <w:r>
        <w:rPr>
          <w:rFonts w:hint="eastAsia" w:ascii="仿宋" w:hAnsi="仿宋" w:eastAsia="仿宋" w:cs="仿宋"/>
          <w:sz w:val="28"/>
          <w:szCs w:val="28"/>
        </w:rPr>
        <w:t>。</w:t>
      </w:r>
    </w:p>
    <w:p w14:paraId="1A859BFC">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15.3</w:t>
      </w:r>
      <w:r>
        <w:rPr>
          <w:rFonts w:hint="eastAsia" w:ascii="仿宋" w:hAnsi="仿宋" w:eastAsia="仿宋" w:cs="仿宋"/>
          <w:sz w:val="28"/>
          <w:szCs w:val="28"/>
        </w:rPr>
        <w:t>质量保证金</w:t>
      </w:r>
    </w:p>
    <w:p w14:paraId="6A8179B2">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关于是否扣留质量保证金的约定：</w:t>
      </w:r>
      <w:r>
        <w:rPr>
          <w:rFonts w:hint="eastAsia" w:ascii="仿宋" w:hAnsi="仿宋" w:eastAsia="仿宋" w:cs="仿宋"/>
          <w:sz w:val="28"/>
          <w:szCs w:val="28"/>
          <w:u w:val="single"/>
        </w:rPr>
        <w:t>工程竣工结算时一次性扣留质量保证金。</w:t>
      </w:r>
      <w:r>
        <w:rPr>
          <w:rFonts w:hint="eastAsia" w:ascii="仿宋" w:hAnsi="仿宋" w:eastAsia="仿宋" w:cs="仿宋"/>
          <w:sz w:val="28"/>
          <w:szCs w:val="28"/>
        </w:rPr>
        <w:t>在工程项目竣工前，承包人按专用合同条款第3.7条提供履约担保的，发包人不得同时预留工程质量保证金。</w:t>
      </w:r>
    </w:p>
    <w:p w14:paraId="6C32E6F8">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15.3.1</w:t>
      </w:r>
      <w:r>
        <w:rPr>
          <w:rFonts w:hint="eastAsia" w:ascii="仿宋" w:hAnsi="仿宋" w:eastAsia="仿宋" w:cs="仿宋"/>
          <w:sz w:val="28"/>
          <w:szCs w:val="28"/>
        </w:rPr>
        <w:t>承包人提供质量保证金的方式</w:t>
      </w:r>
    </w:p>
    <w:p w14:paraId="563C9FD5">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质量保证金采用以下第</w:t>
      </w:r>
      <w:r>
        <w:rPr>
          <w:rFonts w:hint="eastAsia" w:ascii="仿宋" w:hAnsi="仿宋" w:eastAsia="仿宋" w:cs="仿宋"/>
          <w:sz w:val="28"/>
          <w:szCs w:val="28"/>
          <w:u w:val="single"/>
        </w:rPr>
        <w:t>2</w:t>
      </w:r>
      <w:r>
        <w:rPr>
          <w:rFonts w:hint="eastAsia" w:ascii="仿宋" w:hAnsi="仿宋" w:eastAsia="仿宋" w:cs="仿宋"/>
          <w:sz w:val="28"/>
          <w:szCs w:val="28"/>
        </w:rPr>
        <w:t>种方式：</w:t>
      </w:r>
    </w:p>
    <w:p w14:paraId="0C8A2A71">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（1）质量保证金保函，保证金额为：</w:t>
      </w:r>
      <w:r>
        <w:rPr>
          <w:rFonts w:hint="eastAsia" w:ascii="仿宋" w:hAnsi="仿宋" w:eastAsia="仿宋" w:cs="仿宋"/>
          <w:sz w:val="28"/>
          <w:szCs w:val="28"/>
          <w:u w:val="single"/>
        </w:rPr>
        <w:t>/</w:t>
      </w:r>
      <w:r>
        <w:rPr>
          <w:rFonts w:hint="eastAsia" w:ascii="仿宋" w:hAnsi="仿宋" w:eastAsia="仿宋" w:cs="仿宋"/>
          <w:sz w:val="28"/>
          <w:szCs w:val="28"/>
        </w:rPr>
        <w:t>；</w:t>
      </w:r>
    </w:p>
    <w:p w14:paraId="5B61F5D4">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u w:val="single"/>
        </w:rPr>
        <w:t>3</w:t>
      </w:r>
      <w:r>
        <w:rPr>
          <w:rFonts w:hint="eastAsia" w:ascii="仿宋" w:hAnsi="仿宋" w:eastAsia="仿宋" w:cs="仿宋"/>
          <w:sz w:val="28"/>
          <w:szCs w:val="28"/>
        </w:rPr>
        <w:t>%的工程款；</w:t>
      </w:r>
    </w:p>
    <w:p w14:paraId="6666F3E4">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（3）其他方式：</w:t>
      </w:r>
      <w:r>
        <w:rPr>
          <w:rFonts w:hint="eastAsia" w:ascii="仿宋" w:hAnsi="仿宋" w:eastAsia="仿宋" w:cs="仿宋"/>
          <w:sz w:val="28"/>
          <w:szCs w:val="28"/>
          <w:u w:val="single"/>
        </w:rPr>
        <w:t>/</w:t>
      </w:r>
      <w:r>
        <w:rPr>
          <w:rFonts w:hint="eastAsia" w:ascii="仿宋" w:hAnsi="仿宋" w:eastAsia="仿宋" w:cs="仿宋"/>
          <w:sz w:val="28"/>
          <w:szCs w:val="28"/>
        </w:rPr>
        <w:t>。</w:t>
      </w:r>
    </w:p>
    <w:p w14:paraId="080D4C3D">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15.3.2</w:t>
      </w:r>
      <w:r>
        <w:rPr>
          <w:rFonts w:hint="eastAsia" w:ascii="仿宋" w:hAnsi="仿宋" w:eastAsia="仿宋" w:cs="仿宋"/>
          <w:sz w:val="28"/>
          <w:szCs w:val="28"/>
        </w:rPr>
        <w:t>质量保证金的扣留</w:t>
      </w:r>
    </w:p>
    <w:p w14:paraId="47694D63">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质量保证金的扣留采取以下第</w:t>
      </w:r>
      <w:r>
        <w:rPr>
          <w:rFonts w:hint="eastAsia" w:ascii="仿宋" w:hAnsi="仿宋" w:eastAsia="仿宋" w:cs="仿宋"/>
          <w:sz w:val="28"/>
          <w:szCs w:val="28"/>
          <w:u w:val="single"/>
        </w:rPr>
        <w:t>2</w:t>
      </w:r>
      <w:r>
        <w:rPr>
          <w:rFonts w:hint="eastAsia" w:ascii="仿宋" w:hAnsi="仿宋" w:eastAsia="仿宋" w:cs="仿宋"/>
          <w:sz w:val="28"/>
          <w:szCs w:val="28"/>
        </w:rPr>
        <w:t>种方式：</w:t>
      </w:r>
    </w:p>
    <w:p w14:paraId="3DDA7AEB">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（1）在支付工程进度款时逐次扣留，在此情形下，质量保证金的计算基数不包括预付款的支付、扣回以及价格调整的金额；</w:t>
      </w:r>
    </w:p>
    <w:p w14:paraId="7E2ADB8E">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（2）工程竣工结算时一次性扣留质量保证金；</w:t>
      </w:r>
    </w:p>
    <w:p w14:paraId="6CE46844">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（3）其他扣留方式：</w:t>
      </w:r>
      <w:r>
        <w:rPr>
          <w:rFonts w:hint="eastAsia" w:ascii="仿宋" w:hAnsi="仿宋" w:eastAsia="仿宋" w:cs="仿宋"/>
          <w:sz w:val="28"/>
          <w:szCs w:val="28"/>
          <w:u w:val="single"/>
        </w:rPr>
        <w:t>/</w:t>
      </w:r>
      <w:r>
        <w:rPr>
          <w:rFonts w:hint="eastAsia" w:ascii="仿宋" w:hAnsi="仿宋" w:eastAsia="仿宋" w:cs="仿宋"/>
          <w:sz w:val="28"/>
          <w:szCs w:val="28"/>
        </w:rPr>
        <w:t>。</w:t>
      </w:r>
    </w:p>
    <w:p w14:paraId="4F61FB0D">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关于质量保证金的补充约定：</w:t>
      </w:r>
      <w:r>
        <w:rPr>
          <w:rFonts w:hint="eastAsia" w:ascii="仿宋" w:hAnsi="仿宋" w:eastAsia="仿宋" w:cs="仿宋"/>
          <w:sz w:val="28"/>
          <w:szCs w:val="28"/>
          <w:u w:val="single"/>
        </w:rPr>
        <w:t>发包人在退还质量保证金时不支付利息</w:t>
      </w:r>
      <w:r>
        <w:rPr>
          <w:rFonts w:hint="eastAsia" w:ascii="仿宋" w:hAnsi="仿宋" w:eastAsia="仿宋" w:cs="仿宋"/>
          <w:sz w:val="28"/>
          <w:szCs w:val="28"/>
        </w:rPr>
        <w:t>。</w:t>
      </w:r>
    </w:p>
    <w:bookmarkEnd w:id="517"/>
    <w:bookmarkEnd w:id="518"/>
    <w:p w14:paraId="2D358031">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15.4</w:t>
      </w:r>
      <w:r>
        <w:rPr>
          <w:rFonts w:hint="eastAsia" w:ascii="仿宋" w:hAnsi="仿宋" w:eastAsia="仿宋" w:cs="仿宋"/>
          <w:sz w:val="28"/>
          <w:szCs w:val="28"/>
        </w:rPr>
        <w:t>保修</w:t>
      </w:r>
    </w:p>
    <w:bookmarkEnd w:id="519"/>
    <w:p w14:paraId="19D8167E">
      <w:pPr>
        <w:spacing w:line="360" w:lineRule="exact"/>
        <w:ind w:firstLine="548" w:firstLineChars="195"/>
        <w:jc w:val="left"/>
        <w:rPr>
          <w:rFonts w:ascii="仿宋" w:hAnsi="仿宋" w:eastAsia="仿宋" w:cs="仿宋"/>
          <w:sz w:val="28"/>
          <w:szCs w:val="28"/>
        </w:rPr>
      </w:pPr>
      <w:r>
        <w:rPr>
          <w:rFonts w:hint="eastAsia" w:ascii="仿宋" w:hAnsi="仿宋" w:eastAsia="仿宋" w:cs="仿宋"/>
          <w:b/>
          <w:sz w:val="28"/>
          <w:szCs w:val="28"/>
        </w:rPr>
        <w:t>15.4.1</w:t>
      </w:r>
      <w:r>
        <w:rPr>
          <w:rFonts w:hint="eastAsia" w:ascii="仿宋" w:hAnsi="仿宋" w:eastAsia="仿宋" w:cs="仿宋"/>
          <w:sz w:val="28"/>
          <w:szCs w:val="28"/>
        </w:rPr>
        <w:t>保修责任</w:t>
      </w:r>
    </w:p>
    <w:p w14:paraId="712B43A0">
      <w:pPr>
        <w:spacing w:line="360" w:lineRule="exact"/>
        <w:ind w:firstLine="546" w:firstLineChars="195"/>
        <w:jc w:val="left"/>
        <w:rPr>
          <w:rFonts w:ascii="仿宋" w:hAnsi="仿宋" w:eastAsia="仿宋" w:cs="仿宋"/>
          <w:kern w:val="0"/>
          <w:sz w:val="28"/>
          <w:szCs w:val="28"/>
        </w:rPr>
      </w:pPr>
      <w:r>
        <w:rPr>
          <w:rFonts w:hint="eastAsia" w:ascii="仿宋" w:hAnsi="仿宋" w:eastAsia="仿宋" w:cs="仿宋"/>
          <w:sz w:val="28"/>
          <w:szCs w:val="28"/>
        </w:rPr>
        <w:t>工程保修期为：</w:t>
      </w:r>
      <w:r>
        <w:rPr>
          <w:rFonts w:hint="eastAsia" w:ascii="仿宋" w:hAnsi="仿宋" w:eastAsia="仿宋" w:cs="仿宋"/>
          <w:sz w:val="28"/>
          <w:szCs w:val="28"/>
          <w:u w:val="single"/>
        </w:rPr>
        <w:t>详</w:t>
      </w:r>
      <w:r>
        <w:rPr>
          <w:rFonts w:hint="eastAsia" w:ascii="仿宋" w:hAnsi="仿宋" w:eastAsia="仿宋" w:cs="仿宋"/>
          <w:kern w:val="0"/>
          <w:sz w:val="28"/>
          <w:szCs w:val="28"/>
          <w:u w:val="single"/>
        </w:rPr>
        <w:t>见《工程质量保修书》</w:t>
      </w:r>
      <w:r>
        <w:rPr>
          <w:rFonts w:hint="eastAsia" w:ascii="仿宋" w:hAnsi="仿宋" w:eastAsia="仿宋" w:cs="仿宋"/>
          <w:kern w:val="0"/>
          <w:sz w:val="28"/>
          <w:szCs w:val="28"/>
        </w:rPr>
        <w:t>。</w:t>
      </w:r>
    </w:p>
    <w:p w14:paraId="0951CA9C">
      <w:pPr>
        <w:spacing w:line="360" w:lineRule="exact"/>
        <w:ind w:firstLine="548" w:firstLineChars="195"/>
        <w:jc w:val="left"/>
        <w:rPr>
          <w:rFonts w:ascii="仿宋" w:hAnsi="仿宋" w:eastAsia="仿宋" w:cs="仿宋"/>
          <w:sz w:val="28"/>
          <w:szCs w:val="28"/>
        </w:rPr>
      </w:pPr>
      <w:r>
        <w:rPr>
          <w:rFonts w:hint="eastAsia" w:ascii="仿宋" w:hAnsi="仿宋" w:eastAsia="仿宋" w:cs="仿宋"/>
          <w:b/>
          <w:sz w:val="28"/>
          <w:szCs w:val="28"/>
        </w:rPr>
        <w:t>15.4.3</w:t>
      </w:r>
      <w:r>
        <w:rPr>
          <w:rFonts w:hint="eastAsia" w:ascii="仿宋" w:hAnsi="仿宋" w:eastAsia="仿宋" w:cs="仿宋"/>
          <w:sz w:val="28"/>
          <w:szCs w:val="28"/>
        </w:rPr>
        <w:t>修复通知</w:t>
      </w:r>
    </w:p>
    <w:p w14:paraId="516E8E7F">
      <w:pPr>
        <w:spacing w:line="360" w:lineRule="exact"/>
        <w:ind w:firstLine="546" w:firstLineChars="195"/>
        <w:jc w:val="left"/>
        <w:rPr>
          <w:rFonts w:ascii="仿宋" w:hAnsi="仿宋" w:eastAsia="仿宋" w:cs="仿宋"/>
          <w:kern w:val="0"/>
          <w:sz w:val="28"/>
          <w:szCs w:val="28"/>
        </w:rPr>
      </w:pPr>
      <w:r>
        <w:rPr>
          <w:rFonts w:hint="eastAsia" w:ascii="仿宋" w:hAnsi="仿宋" w:eastAsia="仿宋" w:cs="仿宋"/>
          <w:kern w:val="0"/>
          <w:sz w:val="28"/>
          <w:szCs w:val="28"/>
        </w:rPr>
        <w:t>承包人收到保修通知并到达工程现场的合理时间：</w:t>
      </w:r>
      <w:r>
        <w:rPr>
          <w:rFonts w:hint="eastAsia" w:ascii="仿宋" w:hAnsi="仿宋" w:eastAsia="仿宋" w:cs="仿宋"/>
          <w:kern w:val="0"/>
          <w:sz w:val="28"/>
          <w:szCs w:val="28"/>
          <w:u w:val="single"/>
        </w:rPr>
        <w:t>72小时内</w:t>
      </w:r>
      <w:r>
        <w:rPr>
          <w:rFonts w:hint="eastAsia" w:ascii="仿宋" w:hAnsi="仿宋" w:eastAsia="仿宋" w:cs="仿宋"/>
          <w:kern w:val="0"/>
          <w:sz w:val="28"/>
          <w:szCs w:val="28"/>
        </w:rPr>
        <w:t>。</w:t>
      </w:r>
    </w:p>
    <w:bookmarkEnd w:id="520"/>
    <w:bookmarkEnd w:id="521"/>
    <w:bookmarkEnd w:id="522"/>
    <w:bookmarkEnd w:id="523"/>
    <w:p w14:paraId="2F85BCB4">
      <w:pPr>
        <w:keepNext/>
        <w:keepLines/>
        <w:spacing w:line="360" w:lineRule="exact"/>
        <w:ind w:firstLine="562" w:firstLineChars="200"/>
        <w:outlineLvl w:val="3"/>
        <w:rPr>
          <w:rFonts w:ascii="仿宋" w:hAnsi="仿宋" w:eastAsia="仿宋" w:cs="仿宋"/>
          <w:bCs/>
          <w:sz w:val="28"/>
          <w:szCs w:val="28"/>
        </w:rPr>
      </w:pPr>
      <w:bookmarkStart w:id="524" w:name="_Toc351203648"/>
      <w:bookmarkStart w:id="525" w:name="_Toc280868717"/>
      <w:bookmarkStart w:id="526" w:name="_Toc280868718"/>
      <w:r>
        <w:rPr>
          <w:rFonts w:hint="eastAsia" w:ascii="仿宋" w:hAnsi="仿宋" w:eastAsia="仿宋" w:cs="仿宋"/>
          <w:b/>
          <w:bCs/>
          <w:sz w:val="28"/>
          <w:szCs w:val="28"/>
        </w:rPr>
        <w:t>16.</w:t>
      </w:r>
      <w:r>
        <w:rPr>
          <w:rFonts w:hint="eastAsia" w:ascii="仿宋" w:hAnsi="仿宋" w:eastAsia="仿宋" w:cs="仿宋"/>
          <w:bCs/>
          <w:sz w:val="28"/>
          <w:szCs w:val="28"/>
        </w:rPr>
        <w:t>违约</w:t>
      </w:r>
      <w:bookmarkEnd w:id="524"/>
    </w:p>
    <w:p w14:paraId="550C85D1">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16.1</w:t>
      </w:r>
      <w:r>
        <w:rPr>
          <w:rFonts w:hint="eastAsia" w:ascii="仿宋" w:hAnsi="仿宋" w:eastAsia="仿宋" w:cs="仿宋"/>
          <w:sz w:val="28"/>
          <w:szCs w:val="28"/>
        </w:rPr>
        <w:t>发包人违约</w:t>
      </w:r>
    </w:p>
    <w:p w14:paraId="25C14BB0">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16.1.1</w:t>
      </w:r>
      <w:r>
        <w:rPr>
          <w:rFonts w:hint="eastAsia" w:ascii="仿宋" w:hAnsi="仿宋" w:eastAsia="仿宋" w:cs="仿宋"/>
          <w:sz w:val="28"/>
          <w:szCs w:val="28"/>
        </w:rPr>
        <w:t>发包人违约的情形</w:t>
      </w:r>
    </w:p>
    <w:p w14:paraId="39605BB9">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发包人违约的其他情形：</w:t>
      </w:r>
      <w:r>
        <w:rPr>
          <w:rFonts w:hint="eastAsia" w:ascii="仿宋" w:hAnsi="仿宋" w:eastAsia="仿宋" w:cs="仿宋"/>
          <w:sz w:val="28"/>
          <w:szCs w:val="28"/>
          <w:u w:val="single"/>
        </w:rPr>
        <w:t>/</w:t>
      </w:r>
      <w:r>
        <w:rPr>
          <w:rFonts w:hint="eastAsia" w:ascii="仿宋" w:hAnsi="仿宋" w:eastAsia="仿宋" w:cs="仿宋"/>
          <w:sz w:val="28"/>
          <w:szCs w:val="28"/>
        </w:rPr>
        <w:t>。</w:t>
      </w:r>
    </w:p>
    <w:p w14:paraId="783C7D60">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16.1.2</w:t>
      </w:r>
      <w:r>
        <w:rPr>
          <w:rFonts w:hint="eastAsia" w:ascii="仿宋" w:hAnsi="仿宋" w:eastAsia="仿宋" w:cs="仿宋"/>
          <w:sz w:val="28"/>
          <w:szCs w:val="28"/>
        </w:rPr>
        <w:t>发包人违约的责任</w:t>
      </w:r>
    </w:p>
    <w:p w14:paraId="5B15620A">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发包人违约责任的承担方式和计算方法：</w:t>
      </w:r>
    </w:p>
    <w:p w14:paraId="4D4E4EF9">
      <w:pPr>
        <w:autoSpaceDE w:val="0"/>
        <w:autoSpaceDN w:val="0"/>
        <w:adjustRightIn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（1）因发包人原因未能在计划开工日期前7天内下达开工通知的违约责任：</w:t>
      </w:r>
      <w:r>
        <w:rPr>
          <w:rFonts w:hint="eastAsia" w:ascii="仿宋" w:hAnsi="仿宋" w:eastAsia="仿宋" w:cs="仿宋"/>
          <w:kern w:val="0"/>
          <w:sz w:val="28"/>
          <w:szCs w:val="28"/>
          <w:u w:val="single"/>
        </w:rPr>
        <w:t>按通用合同条款执行</w:t>
      </w:r>
      <w:r>
        <w:rPr>
          <w:rFonts w:hint="eastAsia" w:ascii="仿宋" w:hAnsi="仿宋" w:eastAsia="仿宋" w:cs="仿宋"/>
          <w:kern w:val="0"/>
          <w:sz w:val="28"/>
          <w:szCs w:val="28"/>
        </w:rPr>
        <w:t>。</w:t>
      </w:r>
    </w:p>
    <w:p w14:paraId="448BE83B">
      <w:pPr>
        <w:autoSpaceDE w:val="0"/>
        <w:autoSpaceDN w:val="0"/>
        <w:adjustRightIn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（2）因发包人原因未能按合同约定支付合同价款的违约责任：</w:t>
      </w:r>
      <w:r>
        <w:rPr>
          <w:rFonts w:hint="eastAsia" w:ascii="仿宋" w:hAnsi="仿宋" w:eastAsia="仿宋" w:cs="仿宋"/>
          <w:kern w:val="0"/>
          <w:sz w:val="28"/>
          <w:szCs w:val="28"/>
          <w:u w:val="single"/>
        </w:rPr>
        <w:t>按通用合同条款执行</w:t>
      </w:r>
      <w:r>
        <w:rPr>
          <w:rFonts w:hint="eastAsia" w:ascii="仿宋" w:hAnsi="仿宋" w:eastAsia="仿宋" w:cs="仿宋"/>
          <w:kern w:val="0"/>
          <w:sz w:val="28"/>
          <w:szCs w:val="28"/>
        </w:rPr>
        <w:t>。</w:t>
      </w:r>
    </w:p>
    <w:p w14:paraId="3D1E6B9A">
      <w:pPr>
        <w:autoSpaceDE w:val="0"/>
        <w:autoSpaceDN w:val="0"/>
        <w:adjustRightIn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（3）发包人违反第10.1条〔变更的范围〕第（2）项约定，自行实施被取消的工作或转由他人实施的违约责任：</w:t>
      </w:r>
      <w:r>
        <w:rPr>
          <w:rFonts w:hint="eastAsia" w:ascii="仿宋" w:hAnsi="仿宋" w:eastAsia="仿宋" w:cs="仿宋"/>
          <w:kern w:val="0"/>
          <w:sz w:val="28"/>
          <w:szCs w:val="28"/>
          <w:u w:val="single"/>
        </w:rPr>
        <w:t>按通用合同条款执行</w:t>
      </w:r>
      <w:r>
        <w:rPr>
          <w:rFonts w:hint="eastAsia" w:ascii="仿宋" w:hAnsi="仿宋" w:eastAsia="仿宋" w:cs="仿宋"/>
          <w:kern w:val="0"/>
          <w:sz w:val="28"/>
          <w:szCs w:val="28"/>
        </w:rPr>
        <w:t>。</w:t>
      </w:r>
    </w:p>
    <w:p w14:paraId="7CC1309C">
      <w:pPr>
        <w:autoSpaceDE w:val="0"/>
        <w:autoSpaceDN w:val="0"/>
        <w:adjustRightIn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（4）发包人提供的材料、工程设备的规格、数量或质量不符合合同约定，或因发包人原因导致交货日期延误或交货地点变更等情况的违约责任：</w:t>
      </w:r>
      <w:r>
        <w:rPr>
          <w:rFonts w:hint="eastAsia" w:ascii="仿宋" w:hAnsi="仿宋" w:eastAsia="仿宋" w:cs="仿宋"/>
          <w:kern w:val="0"/>
          <w:sz w:val="28"/>
          <w:szCs w:val="28"/>
          <w:u w:val="single"/>
        </w:rPr>
        <w:t>按通用合同条款执行</w:t>
      </w:r>
      <w:r>
        <w:rPr>
          <w:rFonts w:hint="eastAsia" w:ascii="仿宋" w:hAnsi="仿宋" w:eastAsia="仿宋" w:cs="仿宋"/>
          <w:kern w:val="0"/>
          <w:sz w:val="28"/>
          <w:szCs w:val="28"/>
        </w:rPr>
        <w:t>。</w:t>
      </w:r>
    </w:p>
    <w:p w14:paraId="5AD98947">
      <w:pPr>
        <w:autoSpaceDE w:val="0"/>
        <w:autoSpaceDN w:val="0"/>
        <w:adjustRightIn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（5）因发包人违反合同约定造成暂停施工的违约责任：</w:t>
      </w:r>
      <w:r>
        <w:rPr>
          <w:rFonts w:hint="eastAsia" w:ascii="仿宋" w:hAnsi="仿宋" w:eastAsia="仿宋" w:cs="仿宋"/>
          <w:kern w:val="0"/>
          <w:sz w:val="28"/>
          <w:szCs w:val="28"/>
          <w:u w:val="single"/>
        </w:rPr>
        <w:t>按通用合同条款执行</w:t>
      </w:r>
      <w:r>
        <w:rPr>
          <w:rFonts w:hint="eastAsia" w:ascii="仿宋" w:hAnsi="仿宋" w:eastAsia="仿宋" w:cs="仿宋"/>
          <w:kern w:val="0"/>
          <w:sz w:val="28"/>
          <w:szCs w:val="28"/>
        </w:rPr>
        <w:t>。</w:t>
      </w:r>
    </w:p>
    <w:p w14:paraId="37E812F5">
      <w:pPr>
        <w:autoSpaceDE w:val="0"/>
        <w:autoSpaceDN w:val="0"/>
        <w:adjustRightIn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（6）发包人无正当理由没有在约定期限内发出复工指示，导致承包人无法复工的违约责任：按通用合同条款执行。</w:t>
      </w:r>
    </w:p>
    <w:p w14:paraId="1767AA2A">
      <w:pPr>
        <w:autoSpaceDE w:val="0"/>
        <w:autoSpaceDN w:val="0"/>
        <w:adjustRightInd w:val="0"/>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（7）其他：</w:t>
      </w:r>
      <w:r>
        <w:rPr>
          <w:rFonts w:hint="eastAsia" w:ascii="仿宋" w:hAnsi="仿宋" w:eastAsia="仿宋" w:cs="仿宋"/>
          <w:kern w:val="0"/>
          <w:sz w:val="28"/>
          <w:szCs w:val="28"/>
          <w:u w:val="single"/>
        </w:rPr>
        <w:t>承包人同意不同时向发包人主张延期付款的违约责任及利息损失，以数额高者为准且发包人赔偿上限为施工总价款的5%</w:t>
      </w:r>
      <w:r>
        <w:rPr>
          <w:rFonts w:hint="eastAsia" w:ascii="仿宋" w:hAnsi="仿宋" w:eastAsia="仿宋" w:cs="仿宋"/>
          <w:kern w:val="0"/>
          <w:sz w:val="28"/>
          <w:szCs w:val="28"/>
        </w:rPr>
        <w:t>。</w:t>
      </w:r>
    </w:p>
    <w:p w14:paraId="37F630F7">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16.1.3</w:t>
      </w:r>
      <w:r>
        <w:rPr>
          <w:rFonts w:hint="eastAsia" w:ascii="仿宋" w:hAnsi="仿宋" w:eastAsia="仿宋" w:cs="仿宋"/>
          <w:sz w:val="28"/>
          <w:szCs w:val="28"/>
        </w:rPr>
        <w:t>因发包人违约解除合同</w:t>
      </w:r>
    </w:p>
    <w:p w14:paraId="33937F36">
      <w:pPr>
        <w:autoSpaceDE w:val="0"/>
        <w:autoSpaceDN w:val="0"/>
        <w:adjustRightIn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承包人按16.1.1项〔发包人违约的情形〕约定暂停施工满</w:t>
      </w:r>
      <w:r>
        <w:rPr>
          <w:rFonts w:hint="eastAsia" w:ascii="仿宋" w:hAnsi="仿宋" w:eastAsia="仿宋" w:cs="仿宋"/>
          <w:kern w:val="0"/>
          <w:sz w:val="28"/>
          <w:szCs w:val="28"/>
          <w:u w:val="single"/>
        </w:rPr>
        <w:t>30</w:t>
      </w:r>
      <w:r>
        <w:rPr>
          <w:rFonts w:hint="eastAsia" w:ascii="仿宋" w:hAnsi="仿宋" w:eastAsia="仿宋" w:cs="仿宋"/>
          <w:kern w:val="0"/>
          <w:sz w:val="28"/>
          <w:szCs w:val="28"/>
        </w:rPr>
        <w:t>天后发包人仍不纠正其违约行为并致使合同目的不能实现的，承包人有权解除合同。</w:t>
      </w:r>
    </w:p>
    <w:p w14:paraId="08E144E2">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16.2</w:t>
      </w:r>
      <w:r>
        <w:rPr>
          <w:rFonts w:hint="eastAsia" w:ascii="仿宋" w:hAnsi="仿宋" w:eastAsia="仿宋" w:cs="仿宋"/>
          <w:sz w:val="28"/>
          <w:szCs w:val="28"/>
        </w:rPr>
        <w:t>承包人违约</w:t>
      </w:r>
    </w:p>
    <w:p w14:paraId="52764C68">
      <w:pPr>
        <w:spacing w:line="360" w:lineRule="exact"/>
        <w:ind w:firstLine="562" w:firstLineChars="200"/>
        <w:jc w:val="left"/>
        <w:rPr>
          <w:rFonts w:ascii="仿宋" w:hAnsi="仿宋" w:eastAsia="仿宋" w:cs="仿宋"/>
          <w:kern w:val="0"/>
          <w:sz w:val="28"/>
          <w:szCs w:val="28"/>
        </w:rPr>
      </w:pPr>
      <w:r>
        <w:rPr>
          <w:rFonts w:hint="eastAsia" w:ascii="仿宋" w:hAnsi="仿宋" w:eastAsia="仿宋" w:cs="仿宋"/>
          <w:b/>
          <w:kern w:val="0"/>
          <w:sz w:val="28"/>
          <w:szCs w:val="28"/>
        </w:rPr>
        <w:t>16.2.1</w:t>
      </w:r>
      <w:r>
        <w:rPr>
          <w:rFonts w:hint="eastAsia" w:ascii="仿宋" w:hAnsi="仿宋" w:eastAsia="仿宋" w:cs="仿宋"/>
          <w:kern w:val="0"/>
          <w:sz w:val="28"/>
          <w:szCs w:val="28"/>
        </w:rPr>
        <w:t>承包人违约的情形</w:t>
      </w:r>
    </w:p>
    <w:p w14:paraId="2A1F6205">
      <w:pPr>
        <w:spacing w:line="360" w:lineRule="exact"/>
        <w:ind w:firstLine="560" w:firstLineChars="200"/>
        <w:rPr>
          <w:rFonts w:ascii="仿宋" w:hAnsi="仿宋" w:eastAsia="仿宋" w:cs="仿宋"/>
          <w:kern w:val="0"/>
          <w:sz w:val="28"/>
          <w:szCs w:val="28"/>
          <w:u w:val="single"/>
        </w:rPr>
      </w:pPr>
      <w:r>
        <w:rPr>
          <w:rFonts w:hint="eastAsia" w:ascii="仿宋" w:hAnsi="仿宋" w:eastAsia="仿宋" w:cs="仿宋"/>
          <w:kern w:val="0"/>
          <w:sz w:val="28"/>
          <w:szCs w:val="28"/>
        </w:rPr>
        <w:t>承包人违约的其他情形：</w:t>
      </w:r>
      <w:r>
        <w:rPr>
          <w:rFonts w:hint="eastAsia" w:ascii="仿宋" w:hAnsi="仿宋" w:eastAsia="仿宋" w:cs="仿宋"/>
          <w:sz w:val="28"/>
          <w:szCs w:val="28"/>
          <w:u w:val="single"/>
        </w:rPr>
        <w:t>承包人将工程转包、变相转包或分包的；承包人与实际施工人存在挂靠关系的；承包人采购不符合规范和设计要求的材料；承包人不服从发包人的管理及安排，不与其它专业承包单位密切配合且互相推诿的</w:t>
      </w:r>
      <w:r>
        <w:rPr>
          <w:rFonts w:hint="eastAsia" w:ascii="仿宋" w:hAnsi="仿宋" w:eastAsia="仿宋" w:cs="仿宋"/>
          <w:kern w:val="0"/>
          <w:sz w:val="28"/>
          <w:szCs w:val="28"/>
        </w:rPr>
        <w:t>。</w:t>
      </w:r>
    </w:p>
    <w:p w14:paraId="5F850768">
      <w:pPr>
        <w:spacing w:line="360" w:lineRule="exact"/>
        <w:ind w:firstLine="562" w:firstLineChars="200"/>
        <w:jc w:val="left"/>
        <w:rPr>
          <w:rFonts w:ascii="仿宋" w:hAnsi="仿宋" w:eastAsia="仿宋" w:cs="仿宋"/>
          <w:kern w:val="0"/>
          <w:sz w:val="28"/>
          <w:szCs w:val="28"/>
        </w:rPr>
      </w:pPr>
      <w:r>
        <w:rPr>
          <w:rFonts w:hint="eastAsia" w:ascii="仿宋" w:hAnsi="仿宋" w:eastAsia="仿宋" w:cs="仿宋"/>
          <w:b/>
          <w:kern w:val="0"/>
          <w:sz w:val="28"/>
          <w:szCs w:val="28"/>
        </w:rPr>
        <w:t>16.2.2</w:t>
      </w:r>
      <w:r>
        <w:rPr>
          <w:rFonts w:hint="eastAsia" w:ascii="仿宋" w:hAnsi="仿宋" w:eastAsia="仿宋" w:cs="仿宋"/>
          <w:kern w:val="0"/>
          <w:sz w:val="28"/>
          <w:szCs w:val="28"/>
        </w:rPr>
        <w:t>承包人违约的责任</w:t>
      </w:r>
    </w:p>
    <w:p w14:paraId="6D1D6135">
      <w:pPr>
        <w:spacing w:line="360" w:lineRule="exact"/>
        <w:ind w:firstLine="560" w:firstLineChars="200"/>
        <w:rPr>
          <w:rFonts w:ascii="仿宋" w:hAnsi="仿宋" w:eastAsia="仿宋" w:cs="仿宋"/>
          <w:sz w:val="28"/>
          <w:szCs w:val="28"/>
          <w:u w:val="single"/>
        </w:rPr>
      </w:pPr>
      <w:r>
        <w:rPr>
          <w:rFonts w:hint="eastAsia" w:ascii="仿宋" w:hAnsi="仿宋" w:eastAsia="仿宋" w:cs="仿宋"/>
          <w:kern w:val="0"/>
          <w:sz w:val="28"/>
          <w:szCs w:val="28"/>
        </w:rPr>
        <w:t>承包人违约责任的承担方式和计算方法：</w:t>
      </w:r>
      <w:r>
        <w:rPr>
          <w:rFonts w:hint="eastAsia" w:ascii="仿宋" w:hAnsi="仿宋" w:eastAsia="仿宋" w:cs="仿宋"/>
          <w:sz w:val="28"/>
          <w:szCs w:val="28"/>
          <w:u w:val="single"/>
        </w:rPr>
        <w:t>承包人将工程转包或分包的，发包人有权解除合同，承包人按本合同签约价的30%向发包人承担违约责任；承包人采购不符合规范和设计要求的材料，须按通用合同条款第8.3款规定将该项材料运出施工现场，并重新采购符合要求的材料，同时，按该项材料签约合同价的20%向发包人承担违约责任。如违约金不足赔偿给发包人造成的损失，发包人有权就不足部分向承包人索赔；承包人必须服从发包人的管理及安排，并与其它专业承包单位密切配合，不得互相推诿；造成严重管理后果的，发包人有权解除合同，一切损失由承包人负责</w:t>
      </w:r>
      <w:r>
        <w:rPr>
          <w:rFonts w:hint="eastAsia" w:ascii="仿宋" w:hAnsi="仿宋" w:eastAsia="仿宋" w:cs="仿宋"/>
          <w:sz w:val="28"/>
          <w:szCs w:val="28"/>
        </w:rPr>
        <w:t>。</w:t>
      </w:r>
    </w:p>
    <w:p w14:paraId="4F4326BD">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16.2.3</w:t>
      </w:r>
      <w:r>
        <w:rPr>
          <w:rFonts w:hint="eastAsia" w:ascii="仿宋" w:hAnsi="仿宋" w:eastAsia="仿宋" w:cs="仿宋"/>
          <w:sz w:val="28"/>
          <w:szCs w:val="28"/>
        </w:rPr>
        <w:t>因承包人违约解除合同</w:t>
      </w:r>
    </w:p>
    <w:p w14:paraId="6BBA9AD3">
      <w:pPr>
        <w:spacing w:line="3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关于承包人违约解除合同的特别约定：</w:t>
      </w:r>
      <w:r>
        <w:rPr>
          <w:rFonts w:hint="eastAsia" w:ascii="仿宋" w:hAnsi="仿宋" w:eastAsia="仿宋" w:cs="仿宋"/>
          <w:sz w:val="28"/>
          <w:szCs w:val="28"/>
          <w:u w:val="single"/>
        </w:rPr>
        <w:t>按通用合同条款执行</w:t>
      </w:r>
      <w:r>
        <w:rPr>
          <w:rFonts w:hint="eastAsia" w:ascii="仿宋" w:hAnsi="仿宋" w:eastAsia="仿宋" w:cs="仿宋"/>
          <w:kern w:val="0"/>
          <w:sz w:val="28"/>
          <w:szCs w:val="28"/>
        </w:rPr>
        <w:t>。</w:t>
      </w:r>
    </w:p>
    <w:p w14:paraId="0D411588">
      <w:pPr>
        <w:spacing w:line="360" w:lineRule="exact"/>
        <w:ind w:firstLine="560" w:firstLineChars="200"/>
        <w:jc w:val="left"/>
        <w:rPr>
          <w:rFonts w:ascii="仿宋" w:hAnsi="仿宋" w:eastAsia="仿宋" w:cs="仿宋"/>
          <w:sz w:val="28"/>
          <w:szCs w:val="28"/>
        </w:rPr>
      </w:pPr>
      <w:r>
        <w:rPr>
          <w:rFonts w:hint="eastAsia" w:ascii="仿宋" w:hAnsi="仿宋" w:eastAsia="仿宋" w:cs="仿宋"/>
          <w:kern w:val="0"/>
          <w:sz w:val="28"/>
          <w:szCs w:val="28"/>
        </w:rPr>
        <w:t>发包人继续使用承包人在施工现场的材料、设备、临时工程、承包人文件和由承包人或以其名义编制的其他文件的费用承担方式：</w:t>
      </w:r>
      <w:r>
        <w:rPr>
          <w:rFonts w:hint="eastAsia" w:ascii="仿宋" w:hAnsi="仿宋" w:eastAsia="仿宋" w:cs="仿宋"/>
          <w:sz w:val="28"/>
          <w:szCs w:val="28"/>
          <w:u w:val="single"/>
        </w:rPr>
        <w:t>由发包人承担</w:t>
      </w:r>
      <w:r>
        <w:rPr>
          <w:rFonts w:hint="eastAsia" w:ascii="仿宋" w:hAnsi="仿宋" w:eastAsia="仿宋" w:cs="仿宋"/>
          <w:sz w:val="28"/>
          <w:szCs w:val="28"/>
        </w:rPr>
        <w:t>。</w:t>
      </w:r>
    </w:p>
    <w:p w14:paraId="5C5D1BBC">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16.4</w:t>
      </w:r>
      <w:r>
        <w:rPr>
          <w:rFonts w:hint="eastAsia" w:ascii="仿宋" w:hAnsi="仿宋" w:eastAsia="仿宋" w:cs="仿宋"/>
          <w:sz w:val="28"/>
          <w:szCs w:val="28"/>
        </w:rPr>
        <w:t>其他约定</w:t>
      </w:r>
    </w:p>
    <w:p w14:paraId="293FB16F">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16.4.1</w:t>
      </w:r>
      <w:r>
        <w:rPr>
          <w:rFonts w:hint="eastAsia" w:ascii="仿宋" w:hAnsi="仿宋" w:eastAsia="仿宋" w:cs="仿宋"/>
          <w:sz w:val="28"/>
          <w:szCs w:val="28"/>
        </w:rPr>
        <w:t>有下列情形之一的，发包人不承担违约责任：</w:t>
      </w:r>
    </w:p>
    <w:p w14:paraId="45DB0C64">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（1）政府规划变更；</w:t>
      </w:r>
    </w:p>
    <w:p w14:paraId="66D4B510">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（2）项目根据政府有关要求停建或改建的；</w:t>
      </w:r>
    </w:p>
    <w:p w14:paraId="257D3015">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（3）项目增加工程量达到应另行招标要求的；</w:t>
      </w:r>
    </w:p>
    <w:p w14:paraId="3C4E7B80">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（4）发生了本合同签订时不可预见且不可归责于任何一方的不属于商业风险的事由，导致合同无法继续履行的或继续履行将严重损害国家利益的；</w:t>
      </w:r>
    </w:p>
    <w:p w14:paraId="348EF1C9">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（5）继续履行合同将会给国家利益、公共利益、第三人利益造成重大损害的。</w:t>
      </w:r>
    </w:p>
    <w:p w14:paraId="7D82AD28">
      <w:pPr>
        <w:spacing w:line="360" w:lineRule="exact"/>
        <w:ind w:firstLine="562" w:firstLineChars="200"/>
        <w:jc w:val="left"/>
        <w:rPr>
          <w:rFonts w:ascii="仿宋" w:hAnsi="仿宋" w:eastAsia="仿宋" w:cs="仿宋"/>
          <w:sz w:val="28"/>
          <w:szCs w:val="28"/>
        </w:rPr>
      </w:pPr>
      <w:r>
        <w:rPr>
          <w:rFonts w:hint="eastAsia" w:ascii="仿宋" w:hAnsi="仿宋" w:eastAsia="仿宋" w:cs="仿宋"/>
          <w:b/>
          <w:sz w:val="28"/>
          <w:szCs w:val="28"/>
        </w:rPr>
        <w:t>16.4.2</w:t>
      </w:r>
      <w:r>
        <w:rPr>
          <w:rFonts w:hint="eastAsia" w:ascii="仿宋" w:hAnsi="仿宋" w:eastAsia="仿宋" w:cs="仿宋"/>
          <w:sz w:val="28"/>
          <w:szCs w:val="28"/>
        </w:rPr>
        <w:t>出现16.4.1约定的情形之一的，发包人可解除合同。由发包人根据承包人的实际工作量按如下约定给予补偿（发包人按合同约定已经支付给承包人的工程款抵作补偿金额，多退少补）：</w:t>
      </w:r>
    </w:p>
    <w:p w14:paraId="747A47B3">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（1）承包人未进行施工的，发包人不予补偿；</w:t>
      </w:r>
    </w:p>
    <w:p w14:paraId="3797B84C">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（2）承包人已进行施工的，按经发包人、监理人共同确认的实际工程量予以补偿。</w:t>
      </w:r>
    </w:p>
    <w:p w14:paraId="38166185">
      <w:pPr>
        <w:keepNext/>
        <w:keepLines/>
        <w:spacing w:line="360" w:lineRule="exact"/>
        <w:ind w:firstLine="562" w:firstLineChars="200"/>
        <w:outlineLvl w:val="3"/>
        <w:rPr>
          <w:rFonts w:ascii="仿宋" w:hAnsi="仿宋" w:eastAsia="仿宋" w:cs="仿宋"/>
          <w:bCs/>
          <w:sz w:val="28"/>
          <w:szCs w:val="28"/>
        </w:rPr>
      </w:pPr>
      <w:bookmarkStart w:id="527" w:name="_Toc351203649"/>
      <w:r>
        <w:rPr>
          <w:rFonts w:hint="eastAsia" w:ascii="仿宋" w:hAnsi="仿宋" w:eastAsia="仿宋" w:cs="仿宋"/>
          <w:b/>
          <w:bCs/>
          <w:sz w:val="28"/>
          <w:szCs w:val="28"/>
        </w:rPr>
        <w:t>17.</w:t>
      </w:r>
      <w:r>
        <w:rPr>
          <w:rFonts w:hint="eastAsia" w:ascii="仿宋" w:hAnsi="仿宋" w:eastAsia="仿宋" w:cs="仿宋"/>
          <w:bCs/>
          <w:sz w:val="28"/>
          <w:szCs w:val="28"/>
        </w:rPr>
        <w:t>不可抗力</w:t>
      </w:r>
      <w:bookmarkEnd w:id="525"/>
      <w:bookmarkEnd w:id="527"/>
    </w:p>
    <w:p w14:paraId="66CA6871">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17.1</w:t>
      </w:r>
      <w:r>
        <w:rPr>
          <w:rFonts w:hint="eastAsia" w:ascii="仿宋" w:hAnsi="仿宋" w:eastAsia="仿宋" w:cs="仿宋"/>
          <w:sz w:val="28"/>
          <w:szCs w:val="28"/>
        </w:rPr>
        <w:t>不可抗力的确认</w:t>
      </w:r>
    </w:p>
    <w:p w14:paraId="6DA5D147">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除通用合同条款约定的不可抗力事件之外，视为不可抗力的其他情形：</w:t>
      </w:r>
      <w:r>
        <w:rPr>
          <w:rFonts w:hint="eastAsia" w:ascii="仿宋" w:hAnsi="仿宋" w:eastAsia="仿宋" w:cs="仿宋"/>
          <w:sz w:val="28"/>
          <w:szCs w:val="28"/>
          <w:u w:val="single"/>
        </w:rPr>
        <w:t>包括6级及6级以上地震；10级以上的风；一天200mm以上的暴雨；一次积雪深达450mm以上等自然灾害；外敌入侵、战争。地震资料以湖南省地震局提供的资料为准，暴风、雨雪资料以当地气象部门提供的资料为准</w:t>
      </w:r>
      <w:r>
        <w:rPr>
          <w:rFonts w:hint="eastAsia" w:ascii="仿宋" w:hAnsi="仿宋" w:eastAsia="仿宋" w:cs="仿宋"/>
          <w:sz w:val="28"/>
          <w:szCs w:val="28"/>
        </w:rPr>
        <w:t>。</w:t>
      </w:r>
    </w:p>
    <w:p w14:paraId="5DA32D70">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 xml:space="preserve">17.3 </w:t>
      </w:r>
      <w:r>
        <w:rPr>
          <w:rFonts w:hint="eastAsia" w:ascii="仿宋" w:hAnsi="仿宋" w:eastAsia="仿宋" w:cs="仿宋"/>
          <w:sz w:val="28"/>
          <w:szCs w:val="28"/>
        </w:rPr>
        <w:t>不可抗力后果的承担</w:t>
      </w:r>
    </w:p>
    <w:p w14:paraId="19F81AEE">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17.3.2 不可抗力导致的人员伤亡、财产损失、费用增加和（或）工期延误等后果，由合同当事人按以下原则承担：</w:t>
      </w:r>
    </w:p>
    <w:p w14:paraId="69597084">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（1）永久工程、已运至施工现场的材料和工程设备的损坏，以及因工程损坏造成的第三人人员伤亡和财产损失由承包人承担；</w:t>
      </w:r>
    </w:p>
    <w:p w14:paraId="6DB476F1">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（2）承包人施工设备的损坏由承包人承担；</w:t>
      </w:r>
    </w:p>
    <w:p w14:paraId="36EFF8EE">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（3）发包人和承包人承担各自人员伤亡和财产的损失；</w:t>
      </w:r>
    </w:p>
    <w:p w14:paraId="79A0801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（4）因不可抗力影响承包人履行合同约定的义务，已经引起或将引起工期延误的，应当顺延工期，由此导致承包人停工的费用损失由承包人承担，停工期间必须支付的工人工资由承包人承担；</w:t>
      </w:r>
    </w:p>
    <w:p w14:paraId="5CCC3CAB">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（5）因不可抗力引起或将引起工期延误，发包人要求赶工的，由此增加的赶工费用由发包人承担；</w:t>
      </w:r>
    </w:p>
    <w:p w14:paraId="51D8946F">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（6）承包人在停工期间按照发包人要求照管、清理和修复工程的费用由发包人承担。</w:t>
      </w:r>
    </w:p>
    <w:p w14:paraId="7667D5EE">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不可抗力发生后，合同当事人均应采取措施尽量避免和减少损失的扩大，任何一方当事人没有采取有效措施导致损失扩大的，应对扩大的损失承担责任。</w:t>
      </w:r>
    </w:p>
    <w:p w14:paraId="395DE4F8">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因合同一方迟延履行合同义务，在迟延履行期间遭遇不可抗力的，不免除其违约责任。</w:t>
      </w:r>
    </w:p>
    <w:p w14:paraId="0C9A362A">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17.4</w:t>
      </w:r>
      <w:r>
        <w:rPr>
          <w:rFonts w:hint="eastAsia" w:ascii="仿宋" w:hAnsi="仿宋" w:eastAsia="仿宋" w:cs="仿宋"/>
          <w:sz w:val="28"/>
          <w:szCs w:val="28"/>
        </w:rPr>
        <w:t>因不可抗力解除合同</w:t>
      </w:r>
    </w:p>
    <w:p w14:paraId="5840FF17">
      <w:pPr>
        <w:spacing w:line="3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合同解除后，发包人应在商定或确定发包人应支付款项后</w:t>
      </w:r>
      <w:r>
        <w:rPr>
          <w:rFonts w:hint="eastAsia" w:ascii="仿宋" w:hAnsi="仿宋" w:eastAsia="仿宋" w:cs="仿宋"/>
          <w:sz w:val="28"/>
          <w:szCs w:val="28"/>
          <w:u w:val="single"/>
        </w:rPr>
        <w:t>30</w:t>
      </w:r>
      <w:r>
        <w:rPr>
          <w:rFonts w:hint="eastAsia" w:ascii="仿宋" w:hAnsi="仿宋" w:eastAsia="仿宋" w:cs="仿宋"/>
          <w:sz w:val="28"/>
          <w:szCs w:val="28"/>
        </w:rPr>
        <w:t>天内完成款项的支付。</w:t>
      </w:r>
    </w:p>
    <w:p w14:paraId="605B753C">
      <w:pPr>
        <w:keepNext/>
        <w:keepLines/>
        <w:spacing w:line="360" w:lineRule="exact"/>
        <w:ind w:firstLine="562" w:firstLineChars="200"/>
        <w:outlineLvl w:val="3"/>
        <w:rPr>
          <w:rFonts w:ascii="仿宋" w:hAnsi="仿宋" w:eastAsia="仿宋" w:cs="仿宋"/>
          <w:bCs/>
          <w:sz w:val="28"/>
          <w:szCs w:val="28"/>
        </w:rPr>
      </w:pPr>
      <w:bookmarkStart w:id="528" w:name="_Toc351203650"/>
      <w:r>
        <w:rPr>
          <w:rFonts w:hint="eastAsia" w:ascii="仿宋" w:hAnsi="仿宋" w:eastAsia="仿宋" w:cs="仿宋"/>
          <w:b/>
          <w:bCs/>
          <w:sz w:val="28"/>
          <w:szCs w:val="28"/>
        </w:rPr>
        <w:t>18.</w:t>
      </w:r>
      <w:r>
        <w:rPr>
          <w:rFonts w:hint="eastAsia" w:ascii="仿宋" w:hAnsi="仿宋" w:eastAsia="仿宋" w:cs="仿宋"/>
          <w:bCs/>
          <w:sz w:val="28"/>
          <w:szCs w:val="28"/>
        </w:rPr>
        <w:t>保险</w:t>
      </w:r>
      <w:bookmarkEnd w:id="528"/>
    </w:p>
    <w:bookmarkEnd w:id="526"/>
    <w:p w14:paraId="19E170EC">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18.1</w:t>
      </w:r>
      <w:r>
        <w:rPr>
          <w:rFonts w:hint="eastAsia" w:ascii="仿宋" w:hAnsi="仿宋" w:eastAsia="仿宋" w:cs="仿宋"/>
          <w:sz w:val="28"/>
          <w:szCs w:val="28"/>
        </w:rPr>
        <w:t>工程保险</w:t>
      </w:r>
    </w:p>
    <w:p w14:paraId="0BE2B76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关于工程保险的特别约定：</w:t>
      </w:r>
    </w:p>
    <w:p w14:paraId="17361946">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1）由承包人以发包人和承包人名义投保的建筑安装工程一切险、第三者责任险，由承包人购买并承担相关费用。承包人购买的保险合同关于投保赔偿不得有赔偿限额限制或单次事故赔偿限额限制，承包人未按合同约定办理保险导致未能得到足额赔偿的，由承包人自行承担责任。</w:t>
      </w:r>
    </w:p>
    <w:p w14:paraId="16B17A4E">
      <w:pPr>
        <w:spacing w:line="36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（2）承包人自有的施工设备和施工场内自有人员的生命财产保险，由承包人购买并承担相关费用。</w:t>
      </w:r>
    </w:p>
    <w:p w14:paraId="041561F4">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18.3</w:t>
      </w:r>
      <w:r>
        <w:rPr>
          <w:rFonts w:hint="eastAsia" w:ascii="仿宋" w:hAnsi="仿宋" w:eastAsia="仿宋" w:cs="仿宋"/>
          <w:sz w:val="28"/>
          <w:szCs w:val="28"/>
        </w:rPr>
        <w:t>其他保险</w:t>
      </w:r>
    </w:p>
    <w:p w14:paraId="3B5B151B">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关于其他保险的约定：</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3952A30D">
      <w:pPr>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承包人是否应为其施工设备等办理财产保险：</w:t>
      </w:r>
      <w:r>
        <w:rPr>
          <w:rFonts w:hint="eastAsia" w:ascii="仿宋" w:hAnsi="仿宋" w:eastAsia="仿宋" w:cs="仿宋"/>
          <w:sz w:val="28"/>
          <w:szCs w:val="28"/>
          <w:u w:val="single"/>
        </w:rPr>
        <w:t>是</w:t>
      </w:r>
      <w:r>
        <w:rPr>
          <w:rFonts w:hint="eastAsia" w:ascii="仿宋" w:hAnsi="仿宋" w:eastAsia="仿宋" w:cs="仿宋"/>
          <w:sz w:val="28"/>
          <w:szCs w:val="28"/>
        </w:rPr>
        <w:t>。</w:t>
      </w:r>
    </w:p>
    <w:p w14:paraId="466BF78B">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18.7</w:t>
      </w:r>
      <w:r>
        <w:rPr>
          <w:rFonts w:hint="eastAsia" w:ascii="仿宋" w:hAnsi="仿宋" w:eastAsia="仿宋" w:cs="仿宋"/>
          <w:sz w:val="28"/>
          <w:szCs w:val="28"/>
        </w:rPr>
        <w:t>通知义务</w:t>
      </w:r>
    </w:p>
    <w:p w14:paraId="6D65BC66">
      <w:pPr>
        <w:spacing w:line="360" w:lineRule="exact"/>
        <w:ind w:firstLine="560" w:firstLineChars="200"/>
        <w:jc w:val="left"/>
        <w:rPr>
          <w:rFonts w:ascii="仿宋" w:hAnsi="仿宋" w:eastAsia="仿宋" w:cs="仿宋"/>
          <w:sz w:val="28"/>
          <w:szCs w:val="28"/>
          <w:u w:val="single"/>
        </w:rPr>
      </w:pPr>
      <w:r>
        <w:rPr>
          <w:rFonts w:hint="eastAsia" w:ascii="仿宋" w:hAnsi="仿宋" w:eastAsia="仿宋" w:cs="仿宋"/>
          <w:kern w:val="0"/>
          <w:sz w:val="28"/>
          <w:szCs w:val="28"/>
        </w:rPr>
        <w:t>关于变更保险合同时的通知义务的约定：</w:t>
      </w:r>
      <w:r>
        <w:rPr>
          <w:rFonts w:hint="eastAsia" w:ascii="仿宋" w:hAnsi="仿宋" w:eastAsia="仿宋" w:cs="仿宋"/>
          <w:sz w:val="28"/>
          <w:szCs w:val="28"/>
          <w:u w:val="single"/>
        </w:rPr>
        <w:t>承包人向发包人提交各项保险生效的证据和保险单副本的时间约定：变更后5个工作日内。</w:t>
      </w:r>
    </w:p>
    <w:bookmarkEnd w:id="498"/>
    <w:bookmarkEnd w:id="499"/>
    <w:bookmarkEnd w:id="500"/>
    <w:bookmarkEnd w:id="501"/>
    <w:bookmarkEnd w:id="502"/>
    <w:bookmarkEnd w:id="503"/>
    <w:bookmarkEnd w:id="504"/>
    <w:bookmarkEnd w:id="505"/>
    <w:bookmarkEnd w:id="506"/>
    <w:bookmarkEnd w:id="507"/>
    <w:bookmarkEnd w:id="508"/>
    <w:bookmarkEnd w:id="509"/>
    <w:p w14:paraId="0492866C">
      <w:pPr>
        <w:keepNext/>
        <w:keepLines/>
        <w:spacing w:line="360" w:lineRule="exact"/>
        <w:ind w:firstLine="562" w:firstLineChars="200"/>
        <w:outlineLvl w:val="3"/>
        <w:rPr>
          <w:rFonts w:ascii="仿宋" w:hAnsi="仿宋" w:eastAsia="仿宋" w:cs="仿宋"/>
          <w:bCs/>
          <w:sz w:val="28"/>
          <w:szCs w:val="28"/>
        </w:rPr>
      </w:pPr>
      <w:bookmarkStart w:id="529" w:name="_Toc351203651"/>
      <w:r>
        <w:rPr>
          <w:rFonts w:hint="eastAsia" w:ascii="仿宋" w:hAnsi="仿宋" w:eastAsia="仿宋" w:cs="仿宋"/>
          <w:b/>
          <w:bCs/>
          <w:sz w:val="28"/>
          <w:szCs w:val="28"/>
        </w:rPr>
        <w:t>20.</w:t>
      </w:r>
      <w:r>
        <w:rPr>
          <w:rFonts w:hint="eastAsia" w:ascii="仿宋" w:hAnsi="仿宋" w:eastAsia="仿宋" w:cs="仿宋"/>
          <w:bCs/>
          <w:sz w:val="28"/>
          <w:szCs w:val="28"/>
        </w:rPr>
        <w:t>争议解决</w:t>
      </w:r>
      <w:bookmarkEnd w:id="529"/>
    </w:p>
    <w:bookmarkEnd w:id="510"/>
    <w:bookmarkEnd w:id="511"/>
    <w:bookmarkEnd w:id="512"/>
    <w:bookmarkEnd w:id="513"/>
    <w:p w14:paraId="0031D626">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20.3</w:t>
      </w:r>
      <w:r>
        <w:rPr>
          <w:rFonts w:hint="eastAsia" w:ascii="仿宋" w:hAnsi="仿宋" w:eastAsia="仿宋" w:cs="仿宋"/>
          <w:sz w:val="28"/>
          <w:szCs w:val="28"/>
        </w:rPr>
        <w:t>争议评审</w:t>
      </w:r>
    </w:p>
    <w:p w14:paraId="1CFEF8B7">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合同当事人是否同意将工程争议提交争议评审小组决定：</w:t>
      </w:r>
      <w:r>
        <w:rPr>
          <w:rFonts w:hint="eastAsia" w:ascii="仿宋" w:hAnsi="仿宋" w:eastAsia="仿宋" w:cs="仿宋"/>
          <w:sz w:val="28"/>
          <w:szCs w:val="28"/>
          <w:u w:val="single"/>
        </w:rPr>
        <w:t>否</w:t>
      </w:r>
      <w:r>
        <w:rPr>
          <w:rFonts w:hint="eastAsia" w:ascii="仿宋" w:hAnsi="仿宋" w:eastAsia="仿宋" w:cs="仿宋"/>
          <w:sz w:val="28"/>
          <w:szCs w:val="28"/>
        </w:rPr>
        <w:t>。</w:t>
      </w:r>
    </w:p>
    <w:p w14:paraId="76D1016E">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20.3.1</w:t>
      </w:r>
      <w:r>
        <w:rPr>
          <w:rFonts w:hint="eastAsia" w:ascii="仿宋" w:hAnsi="仿宋" w:eastAsia="仿宋" w:cs="仿宋"/>
          <w:sz w:val="28"/>
          <w:szCs w:val="28"/>
        </w:rPr>
        <w:t>争议评审小组的确定</w:t>
      </w:r>
    </w:p>
    <w:p w14:paraId="776DEFE7">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争议评审小组成员的确定：</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5931E20C">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选定争议评审员的期限：</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602AA7D0">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争议评审小组成员的报酬承担方式：</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167FF1D4">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其他事项的约定：</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7FFFA7AD">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20.3.2</w:t>
      </w:r>
      <w:r>
        <w:rPr>
          <w:rFonts w:hint="eastAsia" w:ascii="仿宋" w:hAnsi="仿宋" w:eastAsia="仿宋" w:cs="仿宋"/>
          <w:sz w:val="28"/>
          <w:szCs w:val="28"/>
        </w:rPr>
        <w:t>争议评审小组的决定</w:t>
      </w:r>
    </w:p>
    <w:p w14:paraId="5F1F13CD">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合同当事人关于本项的约定：</w:t>
      </w:r>
      <w:r>
        <w:rPr>
          <w:rFonts w:hint="eastAsia" w:ascii="仿宋" w:hAnsi="仿宋" w:eastAsia="仿宋" w:cs="仿宋"/>
          <w:kern w:val="0"/>
          <w:sz w:val="28"/>
          <w:szCs w:val="28"/>
          <w:u w:val="single"/>
        </w:rPr>
        <w:t>/</w:t>
      </w:r>
      <w:r>
        <w:rPr>
          <w:rFonts w:hint="eastAsia" w:ascii="仿宋" w:hAnsi="仿宋" w:eastAsia="仿宋" w:cs="仿宋"/>
          <w:kern w:val="0"/>
          <w:sz w:val="28"/>
          <w:szCs w:val="28"/>
        </w:rPr>
        <w:t>。</w:t>
      </w:r>
    </w:p>
    <w:p w14:paraId="49138C64">
      <w:pPr>
        <w:spacing w:line="360" w:lineRule="exact"/>
        <w:ind w:firstLine="562" w:firstLineChars="200"/>
        <w:rPr>
          <w:rFonts w:ascii="仿宋" w:hAnsi="仿宋" w:eastAsia="仿宋" w:cs="仿宋"/>
          <w:sz w:val="28"/>
          <w:szCs w:val="28"/>
        </w:rPr>
      </w:pPr>
      <w:r>
        <w:rPr>
          <w:rFonts w:hint="eastAsia" w:ascii="仿宋" w:hAnsi="仿宋" w:eastAsia="仿宋" w:cs="仿宋"/>
          <w:b/>
          <w:sz w:val="28"/>
          <w:szCs w:val="28"/>
        </w:rPr>
        <w:t>20.4</w:t>
      </w:r>
      <w:r>
        <w:rPr>
          <w:rFonts w:hint="eastAsia" w:ascii="仿宋" w:hAnsi="仿宋" w:eastAsia="仿宋" w:cs="仿宋"/>
          <w:sz w:val="28"/>
          <w:szCs w:val="28"/>
        </w:rPr>
        <w:t>仲裁或诉讼</w:t>
      </w:r>
    </w:p>
    <w:p w14:paraId="25A521AD">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因合同及合同有关事项发生的争议，按下列第</w:t>
      </w:r>
      <w:r>
        <w:rPr>
          <w:rFonts w:hint="eastAsia" w:ascii="仿宋" w:hAnsi="仿宋" w:eastAsia="仿宋" w:cs="仿宋"/>
          <w:sz w:val="28"/>
          <w:szCs w:val="28"/>
          <w:u w:val="single"/>
        </w:rPr>
        <w:t>2</w:t>
      </w:r>
      <w:r>
        <w:rPr>
          <w:rFonts w:hint="eastAsia" w:ascii="仿宋" w:hAnsi="仿宋" w:eastAsia="仿宋" w:cs="仿宋"/>
          <w:sz w:val="28"/>
          <w:szCs w:val="28"/>
        </w:rPr>
        <w:t>种方式解决：</w:t>
      </w:r>
    </w:p>
    <w:p w14:paraId="7FE19D8C">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（1）向</w:t>
      </w:r>
      <w:r>
        <w:rPr>
          <w:rFonts w:hint="eastAsia" w:ascii="仿宋" w:hAnsi="仿宋" w:eastAsia="仿宋" w:cs="仿宋"/>
          <w:sz w:val="28"/>
          <w:szCs w:val="28"/>
          <w:u w:val="single"/>
        </w:rPr>
        <w:t>永州</w:t>
      </w:r>
      <w:r>
        <w:rPr>
          <w:rFonts w:hint="eastAsia" w:ascii="仿宋" w:hAnsi="仿宋" w:eastAsia="仿宋" w:cs="仿宋"/>
          <w:sz w:val="28"/>
          <w:szCs w:val="28"/>
        </w:rPr>
        <w:t>仲裁委员会申请仲裁；</w:t>
      </w:r>
    </w:p>
    <w:p w14:paraId="71913337">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（2）向</w:t>
      </w:r>
      <w:r>
        <w:rPr>
          <w:rFonts w:hint="eastAsia" w:ascii="仿宋" w:hAnsi="仿宋" w:eastAsia="仿宋" w:cs="仿宋"/>
          <w:sz w:val="28"/>
          <w:szCs w:val="28"/>
          <w:u w:val="single"/>
        </w:rPr>
        <w:t>本工程所在地</w:t>
      </w:r>
      <w:r>
        <w:rPr>
          <w:rFonts w:hint="eastAsia" w:ascii="仿宋" w:hAnsi="仿宋" w:eastAsia="仿宋" w:cs="仿宋"/>
          <w:sz w:val="28"/>
          <w:szCs w:val="28"/>
        </w:rPr>
        <w:t>人民法院起诉。</w:t>
      </w:r>
    </w:p>
    <w:p w14:paraId="31B5EC8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（以下无正文）</w:t>
      </w:r>
    </w:p>
    <w:p w14:paraId="0BB3A240">
      <w:pPr>
        <w:spacing w:line="480" w:lineRule="exact"/>
        <w:rPr>
          <w:rFonts w:ascii="仿宋" w:hAnsi="仿宋" w:eastAsia="仿宋" w:cs="仿宋"/>
          <w:sz w:val="28"/>
          <w:szCs w:val="28"/>
        </w:rPr>
      </w:pPr>
    </w:p>
    <w:p w14:paraId="4BCB4010">
      <w:pPr>
        <w:spacing w:line="480" w:lineRule="exact"/>
        <w:rPr>
          <w:rFonts w:ascii="仿宋" w:hAnsi="仿宋" w:eastAsia="仿宋" w:cs="仿宋"/>
          <w:sz w:val="28"/>
          <w:szCs w:val="28"/>
        </w:rPr>
      </w:pPr>
    </w:p>
    <w:p w14:paraId="467AC999">
      <w:pPr>
        <w:spacing w:line="480" w:lineRule="exact"/>
        <w:rPr>
          <w:rFonts w:ascii="仿宋" w:hAnsi="仿宋" w:eastAsia="仿宋" w:cs="仿宋"/>
          <w:sz w:val="28"/>
          <w:szCs w:val="28"/>
        </w:rPr>
      </w:pPr>
    </w:p>
    <w:p w14:paraId="2A24528B">
      <w:pPr>
        <w:pStyle w:val="2"/>
        <w:ind w:firstLine="560"/>
        <w:rPr>
          <w:rFonts w:ascii="仿宋" w:hAnsi="仿宋" w:eastAsia="仿宋" w:cs="仿宋"/>
          <w:sz w:val="28"/>
          <w:szCs w:val="28"/>
        </w:rPr>
      </w:pPr>
    </w:p>
    <w:p w14:paraId="64B556FD">
      <w:pPr>
        <w:rPr>
          <w:rFonts w:ascii="仿宋" w:hAnsi="仿宋" w:eastAsia="仿宋" w:cs="仿宋"/>
          <w:sz w:val="28"/>
          <w:szCs w:val="28"/>
        </w:rPr>
      </w:pPr>
    </w:p>
    <w:p w14:paraId="054BFB39">
      <w:pPr>
        <w:pStyle w:val="2"/>
        <w:ind w:firstLine="560"/>
        <w:rPr>
          <w:rFonts w:ascii="仿宋" w:hAnsi="仿宋" w:eastAsia="仿宋" w:cs="仿宋"/>
          <w:sz w:val="28"/>
          <w:szCs w:val="28"/>
        </w:rPr>
      </w:pPr>
    </w:p>
    <w:p w14:paraId="37B477F4">
      <w:pPr>
        <w:widowControl/>
        <w:ind w:firstLine="2581" w:firstLineChars="600"/>
        <w:jc w:val="left"/>
      </w:pPr>
      <w:r>
        <w:rPr>
          <w:rFonts w:ascii="浠垮畫" w:hAnsi="浠垮畫" w:eastAsia="浠垮畫" w:cs="浠垮畫"/>
          <w:b/>
          <w:bCs/>
          <w:color w:val="000000"/>
          <w:kern w:val="0"/>
          <w:sz w:val="43"/>
          <w:szCs w:val="43"/>
        </w:rPr>
        <w:t xml:space="preserve">工程质量保修书 </w:t>
      </w:r>
    </w:p>
    <w:p w14:paraId="79123D12">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u w:val="single"/>
        </w:rPr>
      </w:pPr>
      <w:r>
        <w:rPr>
          <w:rFonts w:ascii="仿宋" w:hAnsi="仿宋" w:eastAsia="仿宋" w:cs="仿宋"/>
          <w:sz w:val="28"/>
          <w:szCs w:val="28"/>
        </w:rPr>
        <w:t>发包人（全称）：</w:t>
      </w:r>
      <w:r>
        <w:rPr>
          <w:rFonts w:hint="eastAsia" w:ascii="仿宋" w:hAnsi="仿宋" w:eastAsia="仿宋" w:cs="仿宋"/>
          <w:color w:val="FF0000"/>
          <w:sz w:val="28"/>
          <w:szCs w:val="28"/>
          <w:u w:val="single"/>
        </w:rPr>
        <w:t xml:space="preserve">永州市城市发展集团有限责任公司 </w:t>
      </w:r>
      <w:r>
        <w:rPr>
          <w:rFonts w:hint="eastAsia" w:ascii="仿宋" w:hAnsi="仿宋" w:eastAsia="仿宋" w:cs="仿宋"/>
          <w:sz w:val="28"/>
          <w:szCs w:val="28"/>
          <w:u w:val="single"/>
        </w:rPr>
        <w:t xml:space="preserve"> </w:t>
      </w:r>
    </w:p>
    <w:p w14:paraId="49411A9F">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rPr>
        <w:t xml:space="preserve">   </w:t>
      </w:r>
      <w:r>
        <w:rPr>
          <w:rFonts w:ascii="仿宋" w:hAnsi="仿宋" w:eastAsia="仿宋" w:cs="仿宋"/>
          <w:sz w:val="28"/>
          <w:szCs w:val="28"/>
        </w:rPr>
        <w:t xml:space="preserve">承包人（全称）：【】 </w:t>
      </w:r>
    </w:p>
    <w:p w14:paraId="32204000">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为保证【】（工程名称）在合理使用期限内正常使用，发包人和承包人根据《中华人民共和国建筑法》、《建设工程质量管理条例》和《房屋建筑工程质量 保修办法》，经协商一致，签订工程质量保修书，承包人在质量保修期内应按照 有关规定及双方约定承担工程质量保修责任。 </w:t>
      </w:r>
    </w:p>
    <w:p w14:paraId="2299D21A">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1.工程质量保修范围和内容 </w:t>
      </w:r>
    </w:p>
    <w:p w14:paraId="68B1E7B3">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承包人在质量保修期内，按照有关法律规定和合同约定，承担工程质量保修责任。质量保修范围包括地基基础工程、主体结构工程、屋面防水工程、有防水要 </w:t>
      </w:r>
    </w:p>
    <w:p w14:paraId="324A9B72">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求的卫生间、房间、外墙面的防渗漏工程、电气管线工程、给排水管道工程、设备安装工程、供热、供冷系统工程、装饰装修工程以及双方约定其他项目。具体质量保修范围，双方约定如下：按中华人民共和国国务院第 279 号令《建设工程质量条例》的规定实行工程质量保修。 </w:t>
      </w:r>
    </w:p>
    <w:p w14:paraId="6516730E">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2.质量保修期 </w:t>
      </w:r>
    </w:p>
    <w:p w14:paraId="7EBA48E7">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2.1 质量保修期从工程实际竣工验收合格之日起计算。单项竣工验收的工程，按单项工程分别计算质量保修期。 </w:t>
      </w:r>
    </w:p>
    <w:p w14:paraId="5597C9A5">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 双方根据《建设工程质量管理条例》及有关规定，约定本工程质量保修期如下： </w:t>
      </w:r>
    </w:p>
    <w:p w14:paraId="0D076ACA">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2.2.1 地基基础工程、主体结构工程为设计文件规定的合理使用年限； </w:t>
      </w:r>
    </w:p>
    <w:p w14:paraId="5C26A266">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2.2.2 屋面防水工程、有防水要求的卫生间、房间和外墙面的防渗漏工程为： </w:t>
      </w:r>
    </w:p>
    <w:p w14:paraId="2C790588">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5 年； </w:t>
      </w:r>
    </w:p>
    <w:p w14:paraId="10FE275C">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2.2.3 电气管线工程、给排水管道、设备安装工程为：2 年； </w:t>
      </w:r>
    </w:p>
    <w:p w14:paraId="333CF63C">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2.2.4 供热与供冷系统工程为：2 个采暖期、供冷期； </w:t>
      </w:r>
    </w:p>
    <w:p w14:paraId="584C98E0">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2.2.5 装饰装修工程为 2 年； </w:t>
      </w:r>
    </w:p>
    <w:p w14:paraId="3EA7D996">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2.2.6其他项目2年； </w:t>
      </w:r>
    </w:p>
    <w:p w14:paraId="2BE837B0">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2.2.7 建设工程的保修期，自竣工验收合格之日起计算。 </w:t>
      </w:r>
    </w:p>
    <w:p w14:paraId="0CDF7491">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3.缺陷责任期 </w:t>
      </w:r>
    </w:p>
    <w:p w14:paraId="4FCE9CEA">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工程缺陷责任期为 24 个月，缺陷责任期自工程通过竣工验收之日起计算。单位工程先于全部工程进行验收，单位工程缺陷责任期自单位工程验收合格之日起算。 缺陷责任期终止后，发包人应退还剩余的质量保证金。 </w:t>
      </w:r>
    </w:p>
    <w:p w14:paraId="6187711C">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4.质量保修责任 </w:t>
      </w:r>
    </w:p>
    <w:p w14:paraId="0130DD20">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4.1 属于保修范围的项目，承包人应在接到保修通知之日起 7 天内派人保修，承包人不在约定期限内派人保修，发包人可自行或指派第三方保修，因此支付的保修费用从承包人的质量保修金中扣除。 </w:t>
      </w:r>
    </w:p>
    <w:p w14:paraId="20FC367A">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4.2 发生紧急抢修事故的（如上水跑水等），承包人在接到通知后，应立即到达事故现场抢修。 </w:t>
      </w:r>
    </w:p>
    <w:p w14:paraId="79A53491">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74</w:t>
      </w:r>
      <w:r>
        <w:rPr>
          <w:rFonts w:ascii="仿宋" w:hAnsi="仿宋" w:eastAsia="仿宋" w:cs="仿宋"/>
          <w:sz w:val="28"/>
          <w:szCs w:val="28"/>
        </w:rPr>
        <w:t xml:space="preserve">4.3 在国家规定的工程合理使用期限内，承包人应确保地基基础工程和主体结构的安全和质量。凡出现其质量问题，应立即报告当地建设行政主管部门，由设计单位提出保修方案，承包人应立即实施保修。因承建方原因致使工程在合理使用期限内造成人身和财产损害的，承建方应承担损害赔偿责任。 </w:t>
      </w:r>
    </w:p>
    <w:p w14:paraId="0D160A2A">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4.4 质量保修完成后，由发包人组织验收。 </w:t>
      </w:r>
    </w:p>
    <w:p w14:paraId="13C1D02D">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5.质量保修费用 </w:t>
      </w:r>
    </w:p>
    <w:p w14:paraId="2AD3ACA0">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质量保修费用及相关的损害赔偿费，由造成质量缺陷的责任方承担。 </w:t>
      </w:r>
    </w:p>
    <w:p w14:paraId="2663AF53">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6.质量保证金 </w:t>
      </w:r>
    </w:p>
    <w:p w14:paraId="7DD4004E">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按本合同专用条款中关于质量保证金的约定执行。 </w:t>
      </w:r>
    </w:p>
    <w:p w14:paraId="4B851415">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7.其他 </w:t>
      </w:r>
    </w:p>
    <w:p w14:paraId="2541EB1D">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7.1 双方约定的其它工程质量保修事项：/。 </w:t>
      </w:r>
    </w:p>
    <w:p w14:paraId="47604250">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7.2 本工程质量保修书，由发包人、承包人在工程竣工验收前签署，作为合同附件，其有效期限至保修期满。 </w:t>
      </w:r>
    </w:p>
    <w:p w14:paraId="4A948986">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7.3 本工程质量保修书一式【】份，发包人【】份、承包人【】份，具有同 等效力。 </w:t>
      </w:r>
    </w:p>
    <w:p w14:paraId="3CD61FC0">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（以下无正文） </w:t>
      </w:r>
    </w:p>
    <w:p w14:paraId="00B896A3">
      <w:pPr>
        <w:pStyle w:val="2"/>
        <w:ind w:firstLine="560"/>
        <w:rPr>
          <w:rFonts w:ascii="仿宋" w:hAnsi="仿宋" w:eastAsia="仿宋" w:cs="仿宋"/>
          <w:sz w:val="28"/>
          <w:szCs w:val="28"/>
        </w:rPr>
      </w:pPr>
    </w:p>
    <w:p w14:paraId="154F6AE6"/>
    <w:p w14:paraId="4347D9B2">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发包人（盖章）：</w:t>
      </w:r>
      <w:r>
        <w:rPr>
          <w:rFonts w:hint="eastAsia" w:ascii="仿宋" w:hAnsi="仿宋" w:eastAsia="仿宋" w:cs="仿宋"/>
          <w:sz w:val="28"/>
          <w:szCs w:val="28"/>
        </w:rPr>
        <w:t xml:space="preserve">         </w:t>
      </w:r>
      <w:r>
        <w:rPr>
          <w:rFonts w:ascii="仿宋" w:hAnsi="仿宋" w:eastAsia="仿宋" w:cs="仿宋"/>
          <w:sz w:val="28"/>
          <w:szCs w:val="28"/>
        </w:rPr>
        <w:t xml:space="preserve"> </w:t>
      </w:r>
      <w:r>
        <w:rPr>
          <w:rFonts w:hint="eastAsia" w:ascii="仿宋" w:hAnsi="仿宋" w:eastAsia="仿宋" w:cs="仿宋"/>
          <w:sz w:val="28"/>
          <w:szCs w:val="28"/>
        </w:rPr>
        <w:t xml:space="preserve">    </w:t>
      </w:r>
      <w:r>
        <w:rPr>
          <w:rFonts w:ascii="仿宋" w:hAnsi="仿宋" w:eastAsia="仿宋" w:cs="仿宋"/>
          <w:sz w:val="28"/>
          <w:szCs w:val="28"/>
        </w:rPr>
        <w:t xml:space="preserve">承包人（盖章）： </w:t>
      </w:r>
    </w:p>
    <w:p w14:paraId="35F1D35C">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法定代表人或其委托代理人 </w:t>
      </w:r>
      <w:r>
        <w:rPr>
          <w:rFonts w:hint="eastAsia" w:ascii="仿宋" w:hAnsi="仿宋" w:eastAsia="仿宋" w:cs="仿宋"/>
          <w:sz w:val="28"/>
          <w:szCs w:val="28"/>
        </w:rPr>
        <w:t xml:space="preserve">    </w:t>
      </w:r>
      <w:r>
        <w:rPr>
          <w:rFonts w:ascii="仿宋" w:hAnsi="仿宋" w:eastAsia="仿宋" w:cs="仿宋"/>
          <w:sz w:val="28"/>
          <w:szCs w:val="28"/>
        </w:rPr>
        <w:t xml:space="preserve">法定代表人或其委托代理人 </w:t>
      </w:r>
    </w:p>
    <w:p w14:paraId="46EC6645">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（签字）：  </w:t>
      </w:r>
      <w:r>
        <w:rPr>
          <w:rFonts w:hint="eastAsia" w:ascii="仿宋" w:hAnsi="仿宋" w:eastAsia="仿宋" w:cs="仿宋"/>
          <w:sz w:val="28"/>
          <w:szCs w:val="28"/>
        </w:rPr>
        <w:t xml:space="preserve">                  </w:t>
      </w:r>
      <w:r>
        <w:rPr>
          <w:rFonts w:ascii="仿宋" w:hAnsi="仿宋" w:eastAsia="仿宋" w:cs="仿宋"/>
          <w:sz w:val="28"/>
          <w:szCs w:val="28"/>
        </w:rPr>
        <w:t>（签字）：</w:t>
      </w:r>
    </w:p>
    <w:p w14:paraId="3A506819">
      <w:pPr>
        <w:pBdr>
          <w:top w:val="none" w:color="auto" w:sz="0" w:space="1"/>
          <w:left w:val="none" w:color="auto" w:sz="0" w:space="4"/>
          <w:bottom w:val="none" w:color="auto" w:sz="0" w:space="1"/>
          <w:right w:val="none" w:color="auto" w:sz="0" w:space="4"/>
        </w:pBdr>
        <w:spacing w:line="360" w:lineRule="exact"/>
        <w:ind w:firstLine="6160" w:firstLineChars="2200"/>
        <w:rPr>
          <w:rFonts w:ascii="仿宋" w:hAnsi="仿宋" w:eastAsia="仿宋" w:cs="仿宋"/>
          <w:sz w:val="28"/>
          <w:szCs w:val="28"/>
        </w:rPr>
      </w:pPr>
      <w:r>
        <w:rPr>
          <w:rFonts w:ascii="仿宋" w:hAnsi="仿宋" w:eastAsia="仿宋" w:cs="仿宋"/>
          <w:sz w:val="28"/>
          <w:szCs w:val="28"/>
        </w:rPr>
        <w:t xml:space="preserve">年 月 日 </w:t>
      </w:r>
    </w:p>
    <w:p w14:paraId="687347E4">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p>
    <w:p w14:paraId="33C9F181">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p>
    <w:p w14:paraId="77F2A904">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p>
    <w:p w14:paraId="610C3526">
      <w:pPr>
        <w:rPr>
          <w:rFonts w:ascii="仿宋" w:hAnsi="仿宋" w:eastAsia="仿宋" w:cs="仿宋"/>
          <w:sz w:val="28"/>
          <w:szCs w:val="28"/>
        </w:rPr>
      </w:pPr>
    </w:p>
    <w:p w14:paraId="002440D0">
      <w:pPr>
        <w:pStyle w:val="2"/>
        <w:ind w:firstLine="560"/>
        <w:rPr>
          <w:rFonts w:ascii="仿宋" w:hAnsi="仿宋" w:eastAsia="仿宋" w:cs="仿宋"/>
          <w:sz w:val="28"/>
          <w:szCs w:val="28"/>
        </w:rPr>
      </w:pPr>
    </w:p>
    <w:p w14:paraId="6D3BF627">
      <w:pPr>
        <w:rPr>
          <w:rFonts w:ascii="仿宋" w:hAnsi="仿宋" w:eastAsia="仿宋" w:cs="仿宋"/>
          <w:sz w:val="28"/>
          <w:szCs w:val="28"/>
        </w:rPr>
      </w:pPr>
    </w:p>
    <w:p w14:paraId="2B426320">
      <w:pPr>
        <w:pStyle w:val="2"/>
        <w:ind w:firstLine="560"/>
        <w:rPr>
          <w:rFonts w:ascii="仿宋" w:hAnsi="仿宋" w:eastAsia="仿宋" w:cs="仿宋"/>
          <w:sz w:val="28"/>
          <w:szCs w:val="28"/>
        </w:rPr>
      </w:pPr>
    </w:p>
    <w:p w14:paraId="0F8607B2">
      <w:pPr>
        <w:rPr>
          <w:rFonts w:ascii="仿宋" w:hAnsi="仿宋" w:eastAsia="仿宋" w:cs="仿宋"/>
          <w:sz w:val="28"/>
          <w:szCs w:val="28"/>
        </w:rPr>
      </w:pPr>
    </w:p>
    <w:p w14:paraId="37F2D876">
      <w:pPr>
        <w:pStyle w:val="2"/>
        <w:ind w:firstLine="560"/>
        <w:rPr>
          <w:rFonts w:ascii="仿宋" w:hAnsi="仿宋" w:eastAsia="仿宋" w:cs="仿宋"/>
          <w:sz w:val="28"/>
          <w:szCs w:val="28"/>
        </w:rPr>
      </w:pPr>
    </w:p>
    <w:p w14:paraId="42931F3F">
      <w:pPr>
        <w:pBdr>
          <w:top w:val="none" w:color="auto" w:sz="0" w:space="1"/>
          <w:left w:val="none" w:color="auto" w:sz="0" w:space="4"/>
          <w:bottom w:val="none" w:color="auto" w:sz="0" w:space="1"/>
          <w:right w:val="none" w:color="auto" w:sz="0" w:space="4"/>
        </w:pBdr>
        <w:spacing w:line="500" w:lineRule="exact"/>
        <w:jc w:val="center"/>
        <w:rPr>
          <w:rFonts w:ascii="仿宋" w:hAnsi="仿宋" w:eastAsia="仿宋" w:cs="仿宋"/>
          <w:b/>
          <w:sz w:val="44"/>
          <w:szCs w:val="44"/>
        </w:rPr>
      </w:pPr>
      <w:r>
        <w:rPr>
          <w:rFonts w:hint="eastAsia" w:ascii="仿宋" w:hAnsi="仿宋" w:eastAsia="仿宋" w:cs="仿宋"/>
          <w:b/>
          <w:sz w:val="44"/>
          <w:szCs w:val="44"/>
        </w:rPr>
        <w:t>建设工程廉政合同</w:t>
      </w:r>
    </w:p>
    <w:p w14:paraId="4B4245C4">
      <w:pPr>
        <w:pBdr>
          <w:top w:val="none" w:color="auto" w:sz="0" w:space="1"/>
          <w:left w:val="none" w:color="auto" w:sz="0" w:space="4"/>
          <w:bottom w:val="none" w:color="auto" w:sz="0" w:space="1"/>
          <w:right w:val="none" w:color="auto" w:sz="0" w:space="4"/>
        </w:pBdr>
        <w:spacing w:line="360" w:lineRule="exact"/>
        <w:jc w:val="center"/>
        <w:rPr>
          <w:rFonts w:ascii="宋体" w:hAnsi="宋体" w:cs="仿宋"/>
          <w:b/>
          <w:szCs w:val="21"/>
        </w:rPr>
      </w:pPr>
    </w:p>
    <w:p w14:paraId="03B20DAB">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u w:val="single"/>
        </w:rPr>
      </w:pPr>
      <w:r>
        <w:rPr>
          <w:rFonts w:hint="eastAsia" w:ascii="仿宋" w:hAnsi="仿宋" w:eastAsia="仿宋" w:cs="仿宋"/>
          <w:sz w:val="28"/>
          <w:szCs w:val="28"/>
        </w:rPr>
        <w:t>发包人（全称）：</w:t>
      </w:r>
      <w:r>
        <w:rPr>
          <w:rFonts w:hint="eastAsia" w:ascii="仿宋" w:hAnsi="仿宋" w:eastAsia="仿宋" w:cs="仿宋"/>
          <w:color w:val="FF0000"/>
          <w:sz w:val="28"/>
          <w:szCs w:val="28"/>
          <w:u w:val="single"/>
        </w:rPr>
        <w:t xml:space="preserve"> 永州市城市发展集团有限责任公司 </w:t>
      </w:r>
      <w:r>
        <w:rPr>
          <w:rFonts w:hint="eastAsia" w:ascii="仿宋" w:hAnsi="仿宋" w:eastAsia="仿宋" w:cs="仿宋"/>
          <w:sz w:val="28"/>
          <w:szCs w:val="28"/>
          <w:u w:val="single"/>
        </w:rPr>
        <w:t xml:space="preserve"> </w:t>
      </w:r>
    </w:p>
    <w:p w14:paraId="10C63E48">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r>
        <w:rPr>
          <w:rFonts w:hint="eastAsia" w:ascii="仿宋" w:hAnsi="仿宋" w:eastAsia="仿宋" w:cs="仿宋"/>
          <w:sz w:val="28"/>
          <w:szCs w:val="28"/>
        </w:rPr>
        <w:t>承包人（全称）：</w:t>
      </w:r>
      <w:r>
        <w:rPr>
          <w:rFonts w:hint="eastAsia" w:ascii="仿宋" w:hAnsi="仿宋" w:eastAsia="仿宋" w:cs="仿宋"/>
          <w:sz w:val="28"/>
          <w:szCs w:val="28"/>
          <w:u w:val="single"/>
        </w:rPr>
        <w:t xml:space="preserve">【】           </w:t>
      </w:r>
    </w:p>
    <w:p w14:paraId="1E8BAC80">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项目法人</w:t>
      </w:r>
      <w:r>
        <w:rPr>
          <w:rFonts w:hint="eastAsia" w:ascii="仿宋" w:hAnsi="仿宋" w:eastAsia="仿宋" w:cs="仿宋"/>
          <w:sz w:val="28"/>
          <w:szCs w:val="28"/>
          <w:u w:val="single"/>
        </w:rPr>
        <w:t xml:space="preserve">  </w:t>
      </w:r>
      <w:r>
        <w:rPr>
          <w:rFonts w:hint="eastAsia" w:ascii="仿宋" w:hAnsi="仿宋" w:eastAsia="仿宋" w:cs="仿宋"/>
          <w:color w:val="FF0000"/>
          <w:sz w:val="28"/>
          <w:szCs w:val="28"/>
          <w:u w:val="single"/>
        </w:rPr>
        <w:t>永州市城市发展集团有限责任公司</w:t>
      </w:r>
      <w:r>
        <w:rPr>
          <w:rFonts w:hint="eastAsia" w:ascii="仿宋" w:hAnsi="仿宋" w:eastAsia="仿宋" w:cs="仿宋"/>
          <w:sz w:val="28"/>
          <w:szCs w:val="28"/>
          <w:u w:val="single"/>
        </w:rPr>
        <w:t xml:space="preserve">  </w:t>
      </w:r>
      <w:r>
        <w:rPr>
          <w:rFonts w:hint="eastAsia" w:ascii="仿宋" w:hAnsi="仿宋" w:eastAsia="仿宋" w:cs="仿宋"/>
          <w:sz w:val="28"/>
          <w:szCs w:val="28"/>
        </w:rPr>
        <w:t>（以下简称“发包人”）与该项目施工单位</w:t>
      </w:r>
      <w:r>
        <w:rPr>
          <w:rFonts w:hint="eastAsia" w:ascii="仿宋" w:hAnsi="仿宋" w:eastAsia="仿宋" w:cs="仿宋"/>
          <w:sz w:val="28"/>
          <w:szCs w:val="28"/>
          <w:u w:val="single"/>
        </w:rPr>
        <w:t>【】</w:t>
      </w:r>
      <w:r>
        <w:rPr>
          <w:rFonts w:hint="eastAsia" w:ascii="仿宋" w:hAnsi="仿宋" w:eastAsia="仿宋" w:cs="仿宋"/>
          <w:sz w:val="28"/>
          <w:szCs w:val="28"/>
        </w:rPr>
        <w:t>（施工单位名称，以下简称“承包人”）已签订施工合同，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合同。</w:t>
      </w:r>
    </w:p>
    <w:p w14:paraId="40EF4439">
      <w:pPr>
        <w:pBdr>
          <w:top w:val="none" w:color="auto" w:sz="0" w:space="1"/>
          <w:left w:val="none" w:color="auto" w:sz="0" w:space="4"/>
          <w:bottom w:val="none" w:color="auto" w:sz="0" w:space="1"/>
          <w:right w:val="none" w:color="auto" w:sz="0" w:space="4"/>
        </w:pBdr>
        <w:spacing w:line="360" w:lineRule="exact"/>
        <w:ind w:firstLine="562" w:firstLineChars="200"/>
        <w:rPr>
          <w:rFonts w:ascii="仿宋" w:hAnsi="仿宋" w:eastAsia="仿宋" w:cs="仿宋"/>
          <w:b/>
          <w:sz w:val="28"/>
          <w:szCs w:val="28"/>
        </w:rPr>
      </w:pPr>
      <w:r>
        <w:rPr>
          <w:rFonts w:hint="eastAsia" w:ascii="仿宋" w:hAnsi="仿宋" w:eastAsia="仿宋" w:cs="仿宋"/>
          <w:b/>
          <w:sz w:val="28"/>
          <w:szCs w:val="28"/>
        </w:rPr>
        <w:t>1.双方的责任</w:t>
      </w:r>
    </w:p>
    <w:p w14:paraId="613F5C83">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1.1应严格遵守国家关于建设工程的有关法律、法规，相关政策，以及廉政建设的各项规定。</w:t>
      </w:r>
    </w:p>
    <w:p w14:paraId="00A29E3E">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1.2严格执行建设工程施工合同文件，自觉按合同办事。</w:t>
      </w:r>
    </w:p>
    <w:p w14:paraId="3D15155D">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1.3各项活动必须坚持公开、公平、公正、诚信、透明的原则（除法律法规另有规定者外），不得为获取不正当的利益，损害国家、集体和对方利益，不得违反建设工程管理的规章制度。</w:t>
      </w:r>
    </w:p>
    <w:p w14:paraId="2C465DB8">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1.4发现对方在业务活动中有违规、违纪、违法行为的，应及时提醒对方，情节严重的，应向其上级主管部门或纪检监察、司法等有关机关举报。</w:t>
      </w:r>
    </w:p>
    <w:p w14:paraId="182A4133">
      <w:pPr>
        <w:pBdr>
          <w:top w:val="none" w:color="auto" w:sz="0" w:space="1"/>
          <w:left w:val="none" w:color="auto" w:sz="0" w:space="4"/>
          <w:bottom w:val="none" w:color="auto" w:sz="0" w:space="1"/>
          <w:right w:val="none" w:color="auto" w:sz="0" w:space="4"/>
        </w:pBdr>
        <w:spacing w:line="360" w:lineRule="exact"/>
        <w:ind w:firstLine="562" w:firstLineChars="200"/>
        <w:rPr>
          <w:rFonts w:ascii="仿宋" w:hAnsi="仿宋" w:eastAsia="仿宋" w:cs="仿宋"/>
          <w:b/>
          <w:sz w:val="28"/>
          <w:szCs w:val="28"/>
        </w:rPr>
      </w:pPr>
      <w:r>
        <w:rPr>
          <w:rFonts w:hint="eastAsia" w:ascii="仿宋" w:hAnsi="仿宋" w:eastAsia="仿宋" w:cs="仿宋"/>
          <w:b/>
          <w:sz w:val="28"/>
          <w:szCs w:val="28"/>
        </w:rPr>
        <w:t>2.发包人责任</w:t>
      </w:r>
    </w:p>
    <w:p w14:paraId="4AA8D519">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发包人的领导和从事该建设工程项目的工作人员，在工程建设的事前、事中、事后应遵守以下规定：</w:t>
      </w:r>
    </w:p>
    <w:p w14:paraId="09BC6752">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2.1不得向承包人和相关单位索要或接受回扣、礼金、有价证券、贵重物品和好处费、感谢费等。</w:t>
      </w:r>
    </w:p>
    <w:p w14:paraId="3FA5CC03">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2.2不得在承包人和相关单位报销任何应由发包人或个人支付的费用。</w:t>
      </w:r>
    </w:p>
    <w:p w14:paraId="7A1CAA55">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2.3不得要求、暗示或接受承包人和相关单位为个人装修住房、婚丧嫁娶、配偶子女的工作安排以及出国（境）、旅游等提供方便。</w:t>
      </w:r>
    </w:p>
    <w:p w14:paraId="76A69102">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2.4不得参加有可能影响公正执行公务的承包人和相关单位的宴请、健身、娱乐等活动。</w:t>
      </w:r>
    </w:p>
    <w:p w14:paraId="381D6901">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2.5不得向承包人和相关单位介绍或为配偶、子女、亲属参与同发包人工程建设管理合同有关的业务活动；不得以任何理由要求承包人和相关单位使用某种产品、材料和设备。</w:t>
      </w:r>
    </w:p>
    <w:p w14:paraId="6FF55E00">
      <w:pPr>
        <w:pBdr>
          <w:top w:val="none" w:color="auto" w:sz="0" w:space="1"/>
          <w:left w:val="none" w:color="auto" w:sz="0" w:space="4"/>
          <w:bottom w:val="none" w:color="auto" w:sz="0" w:space="1"/>
          <w:right w:val="none" w:color="auto" w:sz="0" w:space="4"/>
        </w:pBdr>
        <w:spacing w:line="360" w:lineRule="exact"/>
        <w:ind w:firstLine="562" w:firstLineChars="200"/>
        <w:rPr>
          <w:rFonts w:ascii="仿宋" w:hAnsi="仿宋" w:eastAsia="仿宋" w:cs="仿宋"/>
          <w:b/>
          <w:sz w:val="28"/>
          <w:szCs w:val="28"/>
        </w:rPr>
      </w:pPr>
      <w:r>
        <w:rPr>
          <w:rFonts w:hint="eastAsia" w:ascii="仿宋" w:hAnsi="仿宋" w:eastAsia="仿宋" w:cs="仿宋"/>
          <w:b/>
          <w:sz w:val="28"/>
          <w:szCs w:val="28"/>
        </w:rPr>
        <w:t>3.承包人责任</w:t>
      </w:r>
    </w:p>
    <w:p w14:paraId="619377A2">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应与发包人保持正常的业务交往，按照有关法律法规和程序开展业务工作，严格执行工程建设的有关方针、政策，执行工程建设强制性标准，并遵守以下规定：</w:t>
      </w:r>
    </w:p>
    <w:p w14:paraId="28A6F60B">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3.1不得以任何理由向发包人及其工作人员赠送礼金、有价证券、贵重物品及回扣、好处费、感谢费等。</w:t>
      </w:r>
    </w:p>
    <w:p w14:paraId="4FD2C99C">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3.2不得以任何理由为发包人和相关单位报销应由对方或个人支付的费用。</w:t>
      </w:r>
    </w:p>
    <w:p w14:paraId="611490EE">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3.3不得接受或暗示为发包人、相关单位或个人装修住房、婚丧嫁娶、配偶子女的工作安排以及出国（境）、旅游等提供方便。</w:t>
      </w:r>
    </w:p>
    <w:p w14:paraId="0E4C21D8">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3.4不得以任何理由为发包人、相关单位或个人组织有可能影响公正执行公务的宴请、健身、娱乐等活动。</w:t>
      </w:r>
    </w:p>
    <w:p w14:paraId="307BCCFD">
      <w:pPr>
        <w:pBdr>
          <w:top w:val="none" w:color="auto" w:sz="0" w:space="1"/>
          <w:left w:val="none" w:color="auto" w:sz="0" w:space="4"/>
          <w:bottom w:val="none" w:color="auto" w:sz="0" w:space="1"/>
          <w:right w:val="none" w:color="auto" w:sz="0" w:space="4"/>
        </w:pBdr>
        <w:spacing w:line="360" w:lineRule="exact"/>
        <w:ind w:firstLine="562" w:firstLineChars="200"/>
        <w:rPr>
          <w:rFonts w:ascii="仿宋" w:hAnsi="仿宋" w:eastAsia="仿宋" w:cs="仿宋"/>
          <w:b/>
          <w:sz w:val="28"/>
          <w:szCs w:val="28"/>
        </w:rPr>
      </w:pPr>
      <w:r>
        <w:rPr>
          <w:rFonts w:hint="eastAsia" w:ascii="仿宋" w:hAnsi="仿宋" w:eastAsia="仿宋" w:cs="仿宋"/>
          <w:b/>
          <w:sz w:val="28"/>
          <w:szCs w:val="28"/>
        </w:rPr>
        <w:t>4.违约责任</w:t>
      </w:r>
    </w:p>
    <w:p w14:paraId="75DF9048">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4.1发包人工作人员有违反本合同第1、2条责任行为的，依据有关法律、法规给予处理；涉嫌犯罪的，移交司法机关追究刑事责任；给承包人单位造成经济损失的，应予以赔偿。</w:t>
      </w:r>
    </w:p>
    <w:p w14:paraId="77872032">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4.2承包人工作人员有违反本合同第1、3条责任行为的，依据有关法律法规处理；涉嫌犯罪的，移交司法机关追究刑事责任；给发包人单位造成经济损失的，应予以赔偿。</w:t>
      </w:r>
    </w:p>
    <w:p w14:paraId="39873BB4">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4.3本合同作为建设工程施工合同的组成部分，与建设工程施工合同具有同等法律效力。经双方签署后立即生效。</w:t>
      </w:r>
    </w:p>
    <w:p w14:paraId="3B56118B">
      <w:pPr>
        <w:pBdr>
          <w:top w:val="none" w:color="auto" w:sz="0" w:space="1"/>
          <w:left w:val="none" w:color="auto" w:sz="0" w:space="4"/>
          <w:bottom w:val="none" w:color="auto" w:sz="0" w:space="1"/>
          <w:right w:val="none" w:color="auto" w:sz="0" w:space="4"/>
        </w:pBdr>
        <w:spacing w:line="360" w:lineRule="exact"/>
        <w:ind w:firstLine="562" w:firstLineChars="200"/>
        <w:rPr>
          <w:rFonts w:ascii="仿宋" w:hAnsi="仿宋" w:eastAsia="仿宋" w:cs="仿宋"/>
          <w:b/>
          <w:sz w:val="28"/>
          <w:szCs w:val="28"/>
        </w:rPr>
      </w:pPr>
      <w:r>
        <w:rPr>
          <w:rFonts w:hint="eastAsia" w:ascii="仿宋" w:hAnsi="仿宋" w:eastAsia="仿宋" w:cs="仿宋"/>
          <w:b/>
          <w:sz w:val="28"/>
          <w:szCs w:val="28"/>
        </w:rPr>
        <w:t>5.合同有效期</w:t>
      </w:r>
    </w:p>
    <w:p w14:paraId="40D7055B">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本合同的有效期为双方签署之日起至该工程项目竣工验收合格时止。</w:t>
      </w:r>
    </w:p>
    <w:p w14:paraId="7CD51FFB">
      <w:pPr>
        <w:pBdr>
          <w:top w:val="none" w:color="auto" w:sz="0" w:space="1"/>
          <w:left w:val="none" w:color="auto" w:sz="0" w:space="4"/>
          <w:bottom w:val="none" w:color="auto" w:sz="0" w:space="1"/>
          <w:right w:val="none" w:color="auto" w:sz="0" w:space="4"/>
        </w:pBdr>
        <w:spacing w:line="360" w:lineRule="exact"/>
        <w:ind w:firstLine="562" w:firstLineChars="200"/>
        <w:rPr>
          <w:rFonts w:ascii="仿宋" w:hAnsi="仿宋" w:eastAsia="仿宋" w:cs="仿宋"/>
          <w:b/>
          <w:sz w:val="28"/>
          <w:szCs w:val="28"/>
        </w:rPr>
      </w:pPr>
      <w:r>
        <w:rPr>
          <w:rFonts w:hint="eastAsia" w:ascii="仿宋" w:hAnsi="仿宋" w:eastAsia="仿宋" w:cs="仿宋"/>
          <w:b/>
          <w:sz w:val="28"/>
          <w:szCs w:val="28"/>
        </w:rPr>
        <w:t>6.合同份数</w:t>
      </w:r>
    </w:p>
    <w:p w14:paraId="2B075BA1">
      <w:pPr>
        <w:pBdr>
          <w:top w:val="none" w:color="auto" w:sz="0" w:space="1"/>
          <w:left w:val="none" w:color="auto" w:sz="0" w:space="4"/>
          <w:bottom w:val="none" w:color="auto" w:sz="0" w:space="1"/>
          <w:right w:val="none" w:color="auto" w:sz="0" w:space="4"/>
        </w:pBd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本合同一式</w:t>
      </w:r>
      <w:r>
        <w:rPr>
          <w:rFonts w:hint="eastAsia" w:ascii="仿宋" w:hAnsi="仿宋" w:eastAsia="仿宋" w:cs="仿宋"/>
          <w:sz w:val="28"/>
          <w:szCs w:val="28"/>
          <w:u w:val="single"/>
        </w:rPr>
        <w:t>【】</w:t>
      </w:r>
      <w:r>
        <w:rPr>
          <w:rFonts w:hint="eastAsia" w:ascii="仿宋" w:hAnsi="仿宋" w:eastAsia="仿宋" w:cs="仿宋"/>
          <w:sz w:val="28"/>
          <w:szCs w:val="28"/>
        </w:rPr>
        <w:t>份，发包人</w:t>
      </w:r>
      <w:r>
        <w:rPr>
          <w:rFonts w:hint="eastAsia" w:ascii="仿宋" w:hAnsi="仿宋" w:eastAsia="仿宋" w:cs="仿宋"/>
          <w:sz w:val="28"/>
          <w:szCs w:val="28"/>
          <w:u w:val="single"/>
        </w:rPr>
        <w:t>【】</w:t>
      </w:r>
      <w:r>
        <w:rPr>
          <w:rFonts w:hint="eastAsia" w:ascii="仿宋" w:hAnsi="仿宋" w:eastAsia="仿宋" w:cs="仿宋"/>
          <w:sz w:val="28"/>
          <w:szCs w:val="28"/>
        </w:rPr>
        <w:t>份、承包人</w:t>
      </w:r>
      <w:r>
        <w:rPr>
          <w:rFonts w:hint="eastAsia" w:ascii="仿宋" w:hAnsi="仿宋" w:eastAsia="仿宋" w:cs="仿宋"/>
          <w:sz w:val="28"/>
          <w:szCs w:val="28"/>
          <w:u w:val="single"/>
        </w:rPr>
        <w:t>【】</w:t>
      </w:r>
      <w:r>
        <w:rPr>
          <w:rFonts w:hint="eastAsia" w:ascii="仿宋" w:hAnsi="仿宋" w:eastAsia="仿宋" w:cs="仿宋"/>
          <w:sz w:val="28"/>
          <w:szCs w:val="28"/>
        </w:rPr>
        <w:t>份，具有同等效力。</w:t>
      </w:r>
    </w:p>
    <w:p w14:paraId="5E5C9B78">
      <w:pPr>
        <w:pBdr>
          <w:top w:val="none" w:color="auto" w:sz="0" w:space="1"/>
          <w:left w:val="none" w:color="auto" w:sz="0" w:space="4"/>
          <w:bottom w:val="none" w:color="auto" w:sz="0" w:space="1"/>
          <w:right w:val="none" w:color="auto" w:sz="0" w:space="4"/>
        </w:pBdr>
        <w:spacing w:line="360" w:lineRule="exact"/>
        <w:ind w:firstLine="560"/>
        <w:rPr>
          <w:rFonts w:ascii="仿宋" w:hAnsi="仿宋" w:eastAsia="仿宋" w:cs="仿宋"/>
          <w:sz w:val="28"/>
          <w:szCs w:val="28"/>
        </w:rPr>
      </w:pPr>
      <w:r>
        <w:rPr>
          <w:rFonts w:hint="eastAsia" w:ascii="仿宋" w:hAnsi="仿宋" w:eastAsia="仿宋" w:cs="仿宋"/>
          <w:sz w:val="28"/>
          <w:szCs w:val="28"/>
        </w:rPr>
        <w:t>（以下无正文）</w:t>
      </w:r>
    </w:p>
    <w:p w14:paraId="67A02D27">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p>
    <w:p w14:paraId="0D8AFD9F">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p>
    <w:p w14:paraId="3AFBB674">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r>
        <w:rPr>
          <w:rFonts w:hint="eastAsia" w:ascii="仿宋" w:hAnsi="仿宋" w:eastAsia="仿宋" w:cs="仿宋"/>
          <w:sz w:val="28"/>
          <w:szCs w:val="28"/>
        </w:rPr>
        <w:t>发包人（盖章）：                  承包人（盖章）：</w:t>
      </w:r>
    </w:p>
    <w:p w14:paraId="4A92FD93">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p>
    <w:p w14:paraId="05AC9147">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p>
    <w:p w14:paraId="1F4C9844">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p>
    <w:p w14:paraId="270FFD8F">
      <w:pPr>
        <w:pBdr>
          <w:top w:val="none" w:color="auto" w:sz="0" w:space="1"/>
          <w:left w:val="none" w:color="auto" w:sz="0" w:space="4"/>
          <w:bottom w:val="none" w:color="auto" w:sz="0" w:space="1"/>
          <w:right w:val="none" w:color="auto" w:sz="0" w:space="4"/>
        </w:pBdr>
        <w:spacing w:line="360" w:lineRule="exact"/>
        <w:jc w:val="left"/>
        <w:rPr>
          <w:rFonts w:ascii="仿宋" w:hAnsi="仿宋" w:eastAsia="仿宋" w:cs="仿宋"/>
          <w:sz w:val="28"/>
          <w:szCs w:val="28"/>
        </w:rPr>
      </w:pPr>
      <w:r>
        <w:rPr>
          <w:rFonts w:hint="eastAsia" w:ascii="仿宋" w:hAnsi="仿宋" w:eastAsia="仿宋" w:cs="仿宋"/>
          <w:sz w:val="28"/>
          <w:szCs w:val="28"/>
        </w:rPr>
        <w:t>法定代表人或其委托代理人         法定代表人或其委托代理人</w:t>
      </w:r>
    </w:p>
    <w:p w14:paraId="221CE11A">
      <w:pPr>
        <w:pBdr>
          <w:top w:val="none" w:color="auto" w:sz="0" w:space="1"/>
          <w:left w:val="none" w:color="auto" w:sz="0" w:space="4"/>
          <w:bottom w:val="none" w:color="auto" w:sz="0" w:space="1"/>
          <w:right w:val="none" w:color="auto" w:sz="0" w:space="4"/>
        </w:pBdr>
        <w:spacing w:line="360" w:lineRule="exact"/>
        <w:jc w:val="left"/>
        <w:rPr>
          <w:rFonts w:ascii="仿宋" w:hAnsi="仿宋" w:eastAsia="仿宋" w:cs="仿宋"/>
          <w:sz w:val="28"/>
          <w:szCs w:val="28"/>
        </w:rPr>
      </w:pPr>
      <w:r>
        <w:rPr>
          <w:rFonts w:hint="eastAsia" w:ascii="仿宋" w:hAnsi="仿宋" w:eastAsia="仿宋" w:cs="仿宋"/>
          <w:sz w:val="28"/>
          <w:szCs w:val="28"/>
        </w:rPr>
        <w:t>（签字）：                        （签字）：</w:t>
      </w:r>
    </w:p>
    <w:p w14:paraId="7C0E291D">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p>
    <w:p w14:paraId="1DAB8692">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p>
    <w:p w14:paraId="3C294155">
      <w:pPr>
        <w:pBdr>
          <w:top w:val="none" w:color="auto" w:sz="0" w:space="1"/>
          <w:left w:val="none" w:color="auto" w:sz="0" w:space="4"/>
          <w:bottom w:val="none" w:color="auto" w:sz="0" w:space="1"/>
          <w:right w:val="none" w:color="auto" w:sz="0" w:space="4"/>
        </w:pBdr>
        <w:spacing w:line="360" w:lineRule="exact"/>
        <w:rPr>
          <w:rFonts w:ascii="仿宋" w:hAnsi="仿宋" w:eastAsia="仿宋" w:cs="仿宋"/>
          <w:sz w:val="28"/>
          <w:szCs w:val="28"/>
        </w:rPr>
      </w:pPr>
    </w:p>
    <w:p w14:paraId="1890E17E">
      <w:pPr>
        <w:pBdr>
          <w:top w:val="none" w:color="auto" w:sz="0" w:space="1"/>
          <w:left w:val="none" w:color="auto" w:sz="0" w:space="4"/>
          <w:bottom w:val="none" w:color="auto" w:sz="0" w:space="1"/>
          <w:right w:val="none" w:color="auto" w:sz="0" w:space="4"/>
        </w:pBdr>
        <w:spacing w:line="360" w:lineRule="exact"/>
        <w:jc w:val="center"/>
        <w:rPr>
          <w:rFonts w:ascii="仿宋" w:hAnsi="仿宋" w:eastAsia="仿宋" w:cs="仿宋"/>
          <w:sz w:val="28"/>
          <w:szCs w:val="28"/>
        </w:rPr>
      </w:pPr>
      <w:r>
        <w:rPr>
          <w:rFonts w:hint="eastAsia" w:ascii="仿宋" w:hAnsi="仿宋" w:eastAsia="仿宋" w:cs="仿宋"/>
          <w:sz w:val="28"/>
          <w:szCs w:val="28"/>
        </w:rPr>
        <w:t xml:space="preserve">                                      年     月     日</w:t>
      </w:r>
    </w:p>
    <w:p w14:paraId="717F83FE">
      <w:pPr>
        <w:rPr>
          <w:rFonts w:ascii="仿宋" w:hAnsi="仿宋" w:eastAsia="仿宋" w:cs="仿宋"/>
          <w:sz w:val="28"/>
          <w:szCs w:val="28"/>
        </w:rPr>
      </w:pPr>
    </w:p>
    <w:p w14:paraId="007D8281">
      <w:pPr>
        <w:pStyle w:val="2"/>
        <w:ind w:firstLine="560"/>
        <w:rPr>
          <w:rFonts w:ascii="仿宋" w:hAnsi="仿宋" w:eastAsia="仿宋" w:cs="仿宋"/>
          <w:sz w:val="28"/>
          <w:szCs w:val="28"/>
        </w:rPr>
      </w:pPr>
    </w:p>
    <w:p w14:paraId="622A0EED">
      <w:pPr>
        <w:rPr>
          <w:rFonts w:ascii="仿宋" w:hAnsi="仿宋" w:eastAsia="仿宋" w:cs="仿宋"/>
          <w:sz w:val="28"/>
          <w:szCs w:val="28"/>
        </w:rPr>
      </w:pPr>
    </w:p>
    <w:p w14:paraId="2A52F540">
      <w:pPr>
        <w:widowControl/>
        <w:ind w:firstLine="1727" w:firstLineChars="400"/>
        <w:jc w:val="left"/>
      </w:pPr>
      <w:r>
        <w:rPr>
          <w:rFonts w:ascii="仿宋" w:hAnsi="仿宋" w:eastAsia="仿宋" w:cs="仿宋"/>
          <w:b/>
          <w:bCs/>
          <w:color w:val="000000"/>
          <w:kern w:val="0"/>
          <w:sz w:val="43"/>
          <w:szCs w:val="43"/>
        </w:rPr>
        <w:t xml:space="preserve">按期支付农民工工资合同 </w:t>
      </w:r>
    </w:p>
    <w:p w14:paraId="3BE9BA5E">
      <w:pPr>
        <w:spacing w:line="360" w:lineRule="exact"/>
        <w:ind w:firstLine="560" w:firstLineChars="200"/>
        <w:rPr>
          <w:rFonts w:ascii="仿宋" w:hAnsi="仿宋" w:eastAsia="仿宋" w:cs="仿宋"/>
          <w:color w:val="FF0000"/>
          <w:sz w:val="28"/>
          <w:szCs w:val="28"/>
        </w:rPr>
      </w:pPr>
      <w:r>
        <w:rPr>
          <w:rFonts w:hint="eastAsia" w:ascii="仿宋" w:hAnsi="仿宋" w:eastAsia="仿宋" w:cs="仿宋"/>
          <w:sz w:val="28"/>
          <w:szCs w:val="28"/>
        </w:rPr>
        <w:t>甲方（发包人）：</w:t>
      </w:r>
      <w:r>
        <w:rPr>
          <w:rFonts w:hint="eastAsia" w:ascii="仿宋" w:hAnsi="仿宋" w:eastAsia="仿宋" w:cs="仿宋"/>
          <w:color w:val="FF0000"/>
          <w:sz w:val="32"/>
          <w:szCs w:val="32"/>
        </w:rPr>
        <w:t>永州市城市发展集团有限责任公司</w:t>
      </w:r>
    </w:p>
    <w:p w14:paraId="5243087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乙方（承包人）：【】 </w:t>
      </w:r>
    </w:p>
    <w:p w14:paraId="34FC9608">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为保证工程建设过程中对农民工管理规范有序，工资依法支付，切实保障农 民工的合法权益，维护社会稳定，根据《中华人民共和国劳动法》、《中华人民 共和国建筑法》、《劳动保障监察条例》、等相关法律法规的规定，【</w:t>
      </w:r>
      <w:r>
        <w:rPr>
          <w:rFonts w:hint="eastAsia" w:ascii="仿宋" w:hAnsi="仿宋" w:eastAsia="仿宋" w:cs="仿宋"/>
          <w:color w:val="FF0000"/>
          <w:sz w:val="28"/>
          <w:szCs w:val="28"/>
        </w:rPr>
        <w:t xml:space="preserve"> 滨江尚品综合养老服务中心项目装修</w:t>
      </w:r>
      <w:r>
        <w:rPr>
          <w:rFonts w:hint="eastAsia" w:ascii="仿宋" w:hAnsi="仿宋" w:eastAsia="仿宋" w:cs="仿宋"/>
          <w:sz w:val="28"/>
          <w:szCs w:val="28"/>
        </w:rPr>
        <w:t xml:space="preserve">  】工程（工程名称）的项目法人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公司（以下简称甲方）与中标单位即施工单位【】（以下简称乙方）就按期支付农民工工资事宜，特订立如下合同。 </w:t>
      </w:r>
    </w:p>
    <w:p w14:paraId="4F86B79C">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第一条 基本要求 </w:t>
      </w:r>
    </w:p>
    <w:p w14:paraId="7C1798C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（一）本工程农民工工资支付实行项目业主责任制，即本合同甲方在工程项 目发生拖欠农民工工资时，承担监督和维稳责任。 </w:t>
      </w:r>
    </w:p>
    <w:p w14:paraId="45BB410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（二）施工单位（本合同乙方）对农民工工资支付负总责，即本合同乙方对 所承包工程的农民工工资支付负直接责任。 </w:t>
      </w:r>
    </w:p>
    <w:p w14:paraId="3BC4F73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（三）本工程监理单位对施工单位农民工工资支付行为加强监督，督促其按月结清农民工工资，施工单位应接受监理单位的监督管理。 </w:t>
      </w:r>
    </w:p>
    <w:p w14:paraId="374EFD57">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（四）本工程农民工工资支付情况应当接受项目所在地人力资源与社会劳动 保障主管部门和水行政主管部门的监督管理。 </w:t>
      </w:r>
    </w:p>
    <w:p w14:paraId="78250D3B">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第二条 本工程实行农民工工资支付保证金制度。 </w:t>
      </w:r>
    </w:p>
    <w:p w14:paraId="163B4F80">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（一）因乙方签订合同时已按照合同工程总价款的【】%【缴纳履约保证金/ 银行履约担保】，故不再另行缴纳农民工工资支付保证金。合同履行过程中，视 为【履约保证金/银行履约担保】和质量保证金中已包含农民工工资支付保证金， 可以替代农民工工资支付保证金使用。 </w:t>
      </w:r>
    </w:p>
    <w:p w14:paraId="757FD3F8">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（二）若乙方发生拖欠农民工工资和其他应付农民工的费用（包括工伤赔偿金等）的情况，甲方有权动用本工程农民工工资支付保证金专用帐户内的保证金， </w:t>
      </w:r>
    </w:p>
    <w:p w14:paraId="2B4FC0E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用于支付拖欠的农民工资和其他应付农民工的费用。 </w:t>
      </w:r>
    </w:p>
    <w:p w14:paraId="64560134">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（三）甲方有权在工程进度款中直接扣取资金支付农民工工资。 </w:t>
      </w:r>
    </w:p>
    <w:p w14:paraId="5B7171B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（四）甲方接到农民工关于工资拖欠的投诉时，应及时核实农民工投诉情况， 对乙方拖欠工资属实的，应责成其立即纠正，对于不服从协调解决，拒不改正拖欠行为的，将告知农民工通过申请劳动仲裁等合法途径维护自身权益。 </w:t>
      </w:r>
    </w:p>
    <w:p w14:paraId="3476C17B">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第三条 甲乙双方的责任和义务 </w:t>
      </w:r>
    </w:p>
    <w:p w14:paraId="24C6932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（一）甲方负责按本工程施工承包合同约定及时支付工程款，并跟踪、监督 乙方及时足额支付农民工工资，乙方应接受甲方监督。 </w:t>
      </w:r>
    </w:p>
    <w:p w14:paraId="41ACD5DE">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二）乙方招用农民工，应严格劳动用工制度，必须依照《中华人民共和国劳动法》及相关法律法规的规定，与农民工签订劳动合同。劳动合同应当明确合同期限、劳动报酬、工作内容、工作时间、劳动保护、劳动条件、工资支付的方式及违反劳动合同的责任等内容。 </w:t>
      </w:r>
    </w:p>
    <w:p w14:paraId="34DCD66E">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（三）乙方按照与农民工依法签订的集体合同或劳动合同约定的日期，按月 支付农民工工资，实行月结月清制度，支付的工资不得低于当地最低工资标准。 </w:t>
      </w:r>
    </w:p>
    <w:p w14:paraId="11319D83">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四）为确保农民工工资月结月清，甲方将乙方上月农民工工资支付清单作为拨付当月工程进度款的前置条件。若上月农民工工资未按约定付清，在建设行政主管部门和劳动保障行政部门的监督下，甲方按照本合同第二条第二款及第三款规定使用农民工工资支付保证金账户内的保证金或应支付乙方的当月工程款直接支付农民工工资。 </w:t>
      </w:r>
    </w:p>
    <w:p w14:paraId="281FC1E3">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（五）甲乙双方共同在项目施工现场设立“农民工维权告示牌”。 </w:t>
      </w:r>
    </w:p>
    <w:p w14:paraId="0315178C">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六）乙方应建立农民工用工工资档案制度。农民工工资档案（含农民工花名册、农民工工资支付表、劳动用工及工资支付情况汇总表等）以书面形式记录支付农民工工资的数额、时间、领取者的姓名以及签字等，并保存以备查。 </w:t>
      </w:r>
    </w:p>
    <w:p w14:paraId="2E05599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第四条 接受监督管理的约定 </w:t>
      </w:r>
    </w:p>
    <w:p w14:paraId="65D24CFF">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（一）双方约定：本合同的监督管理单位为项目所在地劳动保障行政部门和建设行政主管部门。监督管理单位负责对合同执行情况检查，提出在本合同规定范围内的裁定意见，执行本合同第五条所规定的处罚。 </w:t>
      </w:r>
    </w:p>
    <w:p w14:paraId="199C5ED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（二）检查方式：本合同的履约情况检查由监督管理单位主持，甲乙双方共 同派人参加，检查方式为座谈、问卷调查、查看资料或各方约定的其他方式等。 检查时间、次数、检查方式、检查结论和处罚意见等由各方协商确定，如无法达 成一致意见，由监督管理单位依据事实裁定。 </w:t>
      </w:r>
    </w:p>
    <w:p w14:paraId="2FC45087">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（三）本合同有效期为：甲乙双方签署之日起至合同工程完工验收，且乙方 结清本工程所有农民工工资和其他应付给农民工的费用之日止。 </w:t>
      </w:r>
    </w:p>
    <w:p w14:paraId="33E6975B">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第五条 监管与处罚 </w:t>
      </w:r>
    </w:p>
    <w:p w14:paraId="51F08321">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（一）甲乙双方约定，本工程接受监督管理单位对农民工工资支付保证金专用账户的监管，接受监督管理单位视具体情节提出的资金使用、处理意见。 </w:t>
      </w:r>
    </w:p>
    <w:p w14:paraId="4FEBE2F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（二）乙方违法拖欠或克扣农民工工资或拒绝纠正违法行为，甲方有权向监督单位建议将其列入工程建设不良行为并记入信用档案。如乙方发生两次及以上 拖欠行为，拒不改正，甲方可向监督管理单位申请清退乙方。 </w:t>
      </w:r>
    </w:p>
    <w:p w14:paraId="36C2D3DB">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第六条 不可抗力事件的合同责任 </w:t>
      </w:r>
    </w:p>
    <w:p w14:paraId="7B8E33D0">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（一）由于战争、地震、水灾、火灾、暴风雪或其他不可抗力原因导致不能 履行合同或延迟履行合同的，不适用第四条和第五条规定。 </w:t>
      </w:r>
    </w:p>
    <w:p w14:paraId="3284377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（二）按照本工程施工合同约定负责办理工程保险的一方，应及时投保“建 筑工程一切险”、“安装工程一切险”和“人身意外伤害险”，由保险公司赔偿 工程施工过程中因自然灾害或意外事故而引起的一切损失，乙方所获得的损失赔 偿首先用于清欠不可抗力事件发生前的所有农民工工资和其他应付费用。当乙方 有权获得工期顺延时，负责办理保险的一方应在保险合同有效期届满前办理保险 的延续手续；若因乙方原因不能按期竣工，在延迟的施工时间内发生的不可抗力 引起的一切损失由乙方自行负责。 </w:t>
      </w:r>
    </w:p>
    <w:p w14:paraId="67C05D3B">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第七条 本合同自双方法定代表人或其委托代理人签字并加盖公章之日起生 效。本合同为《建设工程施工合同》的附件，是《建设工程施工合同》有效组成 部分，与《建设工程施工合同》具有同等效力。 </w:t>
      </w:r>
    </w:p>
    <w:p w14:paraId="541300F9">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第八条 本合同一式【】份，均具有同等法律效力，发包人执【】份，承包人 执【】份。 </w:t>
      </w:r>
    </w:p>
    <w:p w14:paraId="5D7636BE">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第九条 未尽事宜，双方另行协商或签订补充协议解决，补充协议及本合同附 件与本合同具有同等法律效力。 </w:t>
      </w:r>
    </w:p>
    <w:p w14:paraId="4D056CEA">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第十条 本合同于【】年【】月【】日签订。 </w:t>
      </w:r>
    </w:p>
    <w:p w14:paraId="409AF314">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（以下无正文） </w:t>
      </w:r>
    </w:p>
    <w:p w14:paraId="3AD431CD">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发包人：（盖章） </w:t>
      </w:r>
    </w:p>
    <w:p w14:paraId="557204F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承包人：（盖章） </w:t>
      </w:r>
    </w:p>
    <w:p w14:paraId="66C01361">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法定代表人或其委托代理人：          （签字）</w:t>
      </w:r>
    </w:p>
    <w:p w14:paraId="41D7C2C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法定代表人或其委托代理人：          （签字）</w:t>
      </w:r>
    </w:p>
    <w:p w14:paraId="23CED836">
      <w:pPr>
        <w:pStyle w:val="2"/>
      </w:pPr>
    </w:p>
    <w:p w14:paraId="42B245EC"/>
    <w:p w14:paraId="71C5AA31">
      <w:pPr>
        <w:pStyle w:val="2"/>
      </w:pPr>
    </w:p>
    <w:p w14:paraId="47CB0335"/>
    <w:p w14:paraId="18A4B720">
      <w:pPr>
        <w:pStyle w:val="2"/>
      </w:pPr>
    </w:p>
    <w:p w14:paraId="500BFAC4"/>
    <w:p w14:paraId="03BA5FDE">
      <w:pPr>
        <w:pStyle w:val="2"/>
      </w:pPr>
    </w:p>
    <w:p w14:paraId="23254D89"/>
    <w:p w14:paraId="4CC1A9A2">
      <w:pPr>
        <w:pStyle w:val="2"/>
      </w:pPr>
    </w:p>
    <w:p w14:paraId="5DA5967D"/>
    <w:p w14:paraId="60492D40">
      <w:pPr>
        <w:pStyle w:val="2"/>
      </w:pPr>
    </w:p>
    <w:p w14:paraId="044D3C1A"/>
    <w:p w14:paraId="2874BDD5">
      <w:pPr>
        <w:pStyle w:val="2"/>
      </w:pPr>
    </w:p>
    <w:p w14:paraId="130F9265"/>
    <w:p w14:paraId="5960E5BF">
      <w:pPr>
        <w:pStyle w:val="2"/>
      </w:pPr>
    </w:p>
    <w:p w14:paraId="11F60C18"/>
    <w:p w14:paraId="2F335757">
      <w:pPr>
        <w:pStyle w:val="2"/>
      </w:pPr>
    </w:p>
    <w:p w14:paraId="5DA9D127"/>
    <w:p w14:paraId="3874014E">
      <w:pPr>
        <w:pStyle w:val="2"/>
      </w:pPr>
    </w:p>
    <w:p w14:paraId="5542C8BD"/>
    <w:p w14:paraId="5DCD9EDF">
      <w:pPr>
        <w:pStyle w:val="2"/>
      </w:pPr>
    </w:p>
    <w:p w14:paraId="55631A4D">
      <w:pPr>
        <w:widowControl/>
        <w:ind w:firstLine="3442" w:firstLineChars="800"/>
        <w:jc w:val="left"/>
        <w:rPr>
          <w:rFonts w:ascii="浠垮畫" w:hAnsi="浠垮畫" w:eastAsia="浠垮畫" w:cs="浠垮畫"/>
          <w:b/>
          <w:bCs/>
          <w:color w:val="000000"/>
          <w:kern w:val="0"/>
          <w:sz w:val="43"/>
          <w:szCs w:val="43"/>
        </w:rPr>
      </w:pPr>
    </w:p>
    <w:p w14:paraId="2D1C77CC">
      <w:pPr>
        <w:widowControl/>
        <w:ind w:firstLine="3442" w:firstLineChars="800"/>
        <w:jc w:val="left"/>
      </w:pPr>
      <w:r>
        <w:rPr>
          <w:rFonts w:ascii="浠垮畫" w:hAnsi="浠垮畫" w:eastAsia="浠垮畫" w:cs="浠垮畫"/>
          <w:b/>
          <w:bCs/>
          <w:color w:val="000000"/>
          <w:kern w:val="0"/>
          <w:sz w:val="43"/>
          <w:szCs w:val="43"/>
        </w:rPr>
        <w:t xml:space="preserve">安全生产协议 </w:t>
      </w:r>
    </w:p>
    <w:p w14:paraId="106677A6">
      <w:pPr>
        <w:spacing w:line="360" w:lineRule="exact"/>
        <w:ind w:firstLine="560" w:firstLineChars="200"/>
        <w:rPr>
          <w:rFonts w:ascii="仿宋" w:hAnsi="仿宋" w:eastAsia="仿宋" w:cs="仿宋"/>
          <w:sz w:val="28"/>
          <w:szCs w:val="28"/>
        </w:rPr>
      </w:pPr>
      <w:r>
        <w:rPr>
          <w:rFonts w:ascii="仿宋" w:hAnsi="仿宋" w:eastAsia="仿宋" w:cs="仿宋"/>
          <w:sz w:val="28"/>
          <w:szCs w:val="28"/>
        </w:rPr>
        <w:t>发包人（全称）：</w:t>
      </w:r>
      <w:r>
        <w:rPr>
          <w:rFonts w:ascii="仿宋" w:hAnsi="仿宋" w:eastAsia="仿宋" w:cs="仿宋"/>
          <w:color w:val="FF0000"/>
          <w:sz w:val="28"/>
          <w:szCs w:val="28"/>
        </w:rPr>
        <w:t>滨江尚品综合养老服务中心项目装修</w:t>
      </w:r>
      <w:r>
        <w:rPr>
          <w:rFonts w:ascii="仿宋" w:hAnsi="仿宋" w:eastAsia="仿宋" w:cs="仿宋"/>
          <w:sz w:val="28"/>
          <w:szCs w:val="28"/>
        </w:rPr>
        <w:t xml:space="preserve"> </w:t>
      </w:r>
    </w:p>
    <w:p w14:paraId="655BD35C">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承包人（全称）：【】 </w:t>
      </w:r>
    </w:p>
    <w:p w14:paraId="538D3697">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鉴于承包人已取得建筑施工企业安全生产许可证，故双方根据中国安全生产 和劳动保护的法律法规，一致同意签订本安全生产协议，作为主合同的附件，并 与主合同具有同等的法律效力。 </w:t>
      </w:r>
    </w:p>
    <w:p w14:paraId="5E706B06">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1.管理目标 </w:t>
      </w:r>
    </w:p>
    <w:p w14:paraId="16368B09">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遵守《建设工程安全生产管理条例》的规定，实现安全生产管理目标：无重 伤、无死亡、无坍塌、无中毒、无火灾、无重大机械事故等。 </w:t>
      </w:r>
    </w:p>
    <w:p w14:paraId="4796EDDD">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2.发包人权利和义务 </w:t>
      </w:r>
    </w:p>
    <w:p w14:paraId="703916D5">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2.1 权利 </w:t>
      </w:r>
    </w:p>
    <w:p w14:paraId="26521D1A">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2.1.1 监督检查承包人各项安全管理工作，制止违章作业，遇有危险紧急情况可令其停止作业施工。 </w:t>
      </w:r>
    </w:p>
    <w:p w14:paraId="565DB43F">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2.1.2 检查承包人作业人员持证情况，有权制止无证操作、违章操作。 </w:t>
      </w:r>
    </w:p>
    <w:p w14:paraId="32CBAD02">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2.1.3 根据有关规定，对违章违纪人员进行经济处罚。 </w:t>
      </w:r>
    </w:p>
    <w:p w14:paraId="4C370B74">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2.1.4 工程结算前应确认双方无遗留劳动安全纠纷，方可进行财务结算。 </w:t>
      </w:r>
    </w:p>
    <w:p w14:paraId="02E46761">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 义务 </w:t>
      </w:r>
    </w:p>
    <w:p w14:paraId="6A91B842">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2.2.1 协助承包人做好施工前的安全教育和考核。 </w:t>
      </w:r>
    </w:p>
    <w:p w14:paraId="03F83E2C">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2.2.2 配备安全巡检人员，协助承包人监督检查作业和施工现场安全技术措 </w:t>
      </w:r>
    </w:p>
    <w:p w14:paraId="2B113C2B">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施的落实。 </w:t>
      </w:r>
    </w:p>
    <w:p w14:paraId="66A7025C">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2.2.3 介绍施工作业环境，提供必要的安全作业条件，按照规定的程序及时 </w:t>
      </w:r>
    </w:p>
    <w:p w14:paraId="6B2171E5">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办理施工有关安全手续。 </w:t>
      </w:r>
    </w:p>
    <w:p w14:paraId="1AD9E928">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2.2.4 定期召开安全工作会议。 </w:t>
      </w:r>
    </w:p>
    <w:p w14:paraId="66BDBB82">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3.承包人义务 </w:t>
      </w:r>
    </w:p>
    <w:p w14:paraId="170C2C99">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3.1 承包人应严格遵守国家有关劳动保护法规及发包人各项安全管理制度， 对进入施工现场的所有施工单位工作人员要做好安全教育，安全技术交底，同时填写书面记录；特殊作业人员必须持证上岗。 </w:t>
      </w:r>
    </w:p>
    <w:p w14:paraId="2478AB89">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3.2 根据工程项目制定安全施工方案，并征得发包人安全部门同意。 </w:t>
      </w:r>
    </w:p>
    <w:p w14:paraId="63A0AFA0">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3.3 严格履行发包人特种作业工作审批制度，根据各个施工阶段，将对断路、 动土、动火、动气、动水、临时用电和进入容器内作业必须报批，并指派专人负责现场监护。 </w:t>
      </w:r>
    </w:p>
    <w:p w14:paraId="2B512AAB">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3.4 对特殊的工程或采用特种作业方法的工程要制定应急救援预案，采取严留防范措施，配备抢险救援的有关器材。 </w:t>
      </w:r>
    </w:p>
    <w:p w14:paraId="2F4B6536">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3.5 施工单位现场作业人员应配戴符合安全要求的防护用品。 </w:t>
      </w:r>
    </w:p>
    <w:p w14:paraId="45108850">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3.6 施工单位进入施工现场车辆、机具设备要符合安全要求，附件齐全可靠。 </w:t>
      </w:r>
    </w:p>
    <w:p w14:paraId="4900F021">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3.7 要坚持文明施工，要求各施工单位，危险作业区域应设警示标志，并配备专职安全检查人员负责现场施工作业。 </w:t>
      </w:r>
    </w:p>
    <w:p w14:paraId="2305EEA4">
      <w:pPr>
        <w:spacing w:line="360" w:lineRule="exact"/>
        <w:ind w:firstLine="560" w:firstLineChars="200"/>
        <w:rPr>
          <w:rFonts w:ascii="仿宋" w:hAnsi="仿宋" w:eastAsia="仿宋" w:cs="仿宋"/>
          <w:sz w:val="28"/>
          <w:szCs w:val="28"/>
        </w:rPr>
      </w:pPr>
      <w:r>
        <w:rPr>
          <w:rFonts w:ascii="仿宋" w:hAnsi="仿宋" w:eastAsia="仿宋" w:cs="仿宋"/>
          <w:sz w:val="28"/>
          <w:szCs w:val="28"/>
        </w:rPr>
        <w:t>3.8 遇有风力在六级以上、大雾天、雷暴雨、冰雪天等恶劣气候影响施工安全时，限止露天作业。</w:t>
      </w:r>
    </w:p>
    <w:p w14:paraId="7C34E6E7">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3.9 施工作业中发生人身伤亡，要按国家规定程序报告有关部门的同时，及时报告发包人，并要求施工单位负责保护好现场。 </w:t>
      </w:r>
    </w:p>
    <w:p w14:paraId="7C8476D1">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3.10 承包人对施工工地的安全负有全面的责任，任何第三人在施工场地发生伤亡事故的，除依法由第三人承担责任的外，均由承包人承担相应的责任。 </w:t>
      </w:r>
    </w:p>
    <w:p w14:paraId="7E715EAB">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4.安全措施 </w:t>
      </w:r>
    </w:p>
    <w:p w14:paraId="741D4654">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4.1 施工环境 </w:t>
      </w:r>
    </w:p>
    <w:p w14:paraId="780FFD5A">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按照施工总平面布置的要求，严格管理各项施工设施。在基础施工阶段，将所有基坑周边围蔽，设立防护栏，并在道路旁边的基坑装设安全警示灯，边坡竖立“严禁攀爬、防止触电”的警示牌。禁止电焊机进入底板范围，确保电源电缆与钢筋脱离接触。 </w:t>
      </w:r>
    </w:p>
    <w:p w14:paraId="645AC0A7">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4.2 设备安全 </w:t>
      </w:r>
    </w:p>
    <w:p w14:paraId="0EE6C41A">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设备机具的安全性和维修管理上严格设备进场的性能检查，严抓安装就位后的安全调试，并建立设备卡及时记录使用过程的故障、维修、保养情况，以保障施工设备的正常运转。对于特殊设备如塔吊、桩机等必须取得劳动监督部门的检验合格证方准使用；对井式提升笼强制要求使用 12 种安全装置，经检验合格并配备劳动监督部门认可的安全员方可投入使用。 </w:t>
      </w:r>
    </w:p>
    <w:p w14:paraId="0104B90E">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4.3 消防管理 </w:t>
      </w:r>
    </w:p>
    <w:p w14:paraId="345A4333">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按照有关消防管理条例配备消防器材和设施，设置了消防水管，合理设置消防设施，如灭火器、消防箱、消防水池、消防沙堆等。整个消防系统配置完善、消防通道畅通，特别是宿舍、仓库、脚手架、模板堆场和易燃易爆物品临时存放点等重点监控部位，消防措施应得力有效。 </w:t>
      </w:r>
    </w:p>
    <w:p w14:paraId="6A13E8A3">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4.4 安全用电 </w:t>
      </w:r>
    </w:p>
    <w:p w14:paraId="4004424D">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始终严格执行建设部《施工现场临时用电安全技术规范》（JCJ48-88）的要求，临时用电针对不同施工阶段和不同专业特点，均编制有专项设计方案，坚持做到三级配电，两级保护，电箱实行“一机、一闸、一保护”制，照明、动力分别设置，采用 TN-S 接零保护系统。在施工现场及临设范围设置防雷系统，保证雷雨季节施工作业及居住环境的防雷安全。钢屋盖吊装作业时，重点监督吊装施工临时用电方案的实施，合理架设用电线路。装修期间重点对电箱少装漏电保护器进行整顿，严厉查处使用“拖板”和乱接乱拉行为。 </w:t>
      </w:r>
    </w:p>
    <w:p w14:paraId="2D850161">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4.5 事故处理 </w:t>
      </w:r>
    </w:p>
    <w:p w14:paraId="0530EDCE">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发生伤亡事故，无论何种情况，双方都要及时向各自的上级主管和劳动部门报告。依据《企业职工伤亡事故报告处理办法》和国家劳动部有关伤亡事故统计办法调查处理，统计报告。 </w:t>
      </w:r>
    </w:p>
    <w:p w14:paraId="05D5CE22">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4.6 协议文本 </w:t>
      </w:r>
    </w:p>
    <w:p w14:paraId="6E780089">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本协议于【】年【】月【】日双方签字盖章后生效。本协议一式【】份，双方签订后发包人【】份、承包人【】份。 </w:t>
      </w:r>
    </w:p>
    <w:p w14:paraId="33F218A0">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（以下无正文） </w:t>
      </w:r>
    </w:p>
    <w:p w14:paraId="1E720158">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发包人：（盖章） </w:t>
      </w:r>
      <w:r>
        <w:rPr>
          <w:rFonts w:hint="eastAsia" w:ascii="仿宋" w:hAnsi="仿宋" w:eastAsia="仿宋" w:cs="仿宋"/>
          <w:sz w:val="28"/>
          <w:szCs w:val="28"/>
        </w:rPr>
        <w:t xml:space="preserve">               </w:t>
      </w:r>
      <w:r>
        <w:rPr>
          <w:rFonts w:ascii="仿宋" w:hAnsi="仿宋" w:eastAsia="仿宋" w:cs="仿宋"/>
          <w:sz w:val="28"/>
          <w:szCs w:val="28"/>
        </w:rPr>
        <w:t xml:space="preserve">承包人：（盖章） </w:t>
      </w:r>
    </w:p>
    <w:p w14:paraId="29803752">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法定代表人或其委托代理人： </w:t>
      </w:r>
      <w:r>
        <w:rPr>
          <w:rFonts w:hint="eastAsia" w:ascii="仿宋" w:hAnsi="仿宋" w:eastAsia="仿宋" w:cs="仿宋"/>
          <w:sz w:val="28"/>
          <w:szCs w:val="28"/>
        </w:rPr>
        <w:t xml:space="preserve">    </w:t>
      </w:r>
      <w:r>
        <w:rPr>
          <w:rFonts w:ascii="仿宋" w:hAnsi="仿宋" w:eastAsia="仿宋" w:cs="仿宋"/>
          <w:sz w:val="28"/>
          <w:szCs w:val="28"/>
        </w:rPr>
        <w:t xml:space="preserve">法定代表人或其委托代理人： </w:t>
      </w:r>
    </w:p>
    <w:p w14:paraId="1563AFB4">
      <w:pPr>
        <w:spacing w:line="360" w:lineRule="exact"/>
        <w:ind w:firstLine="560" w:firstLineChars="200"/>
        <w:rPr>
          <w:rFonts w:ascii="仿宋" w:hAnsi="仿宋" w:eastAsia="仿宋" w:cs="仿宋"/>
          <w:sz w:val="28"/>
          <w:szCs w:val="28"/>
        </w:rPr>
      </w:pPr>
      <w:r>
        <w:rPr>
          <w:rFonts w:ascii="仿宋" w:hAnsi="仿宋" w:eastAsia="仿宋" w:cs="仿宋"/>
          <w:sz w:val="28"/>
          <w:szCs w:val="28"/>
        </w:rPr>
        <w:t xml:space="preserve">（签字） </w:t>
      </w:r>
      <w:r>
        <w:rPr>
          <w:rFonts w:hint="eastAsia" w:ascii="仿宋" w:hAnsi="仿宋" w:eastAsia="仿宋" w:cs="仿宋"/>
          <w:sz w:val="28"/>
          <w:szCs w:val="28"/>
        </w:rPr>
        <w:t xml:space="preserve">                      </w:t>
      </w:r>
      <w:r>
        <w:rPr>
          <w:rFonts w:ascii="仿宋" w:hAnsi="仿宋" w:eastAsia="仿宋" w:cs="仿宋"/>
          <w:sz w:val="28"/>
          <w:szCs w:val="28"/>
        </w:rPr>
        <w:t xml:space="preserve">（签字） </w:t>
      </w:r>
    </w:p>
    <w:p w14:paraId="5ACAA6FD"/>
    <w:p w14:paraId="2E2A6D86"/>
    <w:p w14:paraId="6D0313EA">
      <w:pPr>
        <w:pStyle w:val="2"/>
      </w:pPr>
    </w:p>
    <w:p w14:paraId="14EC4F9A"/>
    <w:p w14:paraId="645A0600">
      <w:pPr>
        <w:pStyle w:val="2"/>
      </w:pPr>
    </w:p>
    <w:p w14:paraId="51EA45A4"/>
    <w:p w14:paraId="63F68583">
      <w:pPr>
        <w:pStyle w:val="2"/>
      </w:pPr>
    </w:p>
    <w:p w14:paraId="360E4766"/>
    <w:p w14:paraId="3F771451">
      <w:pPr>
        <w:pStyle w:val="2"/>
      </w:pPr>
    </w:p>
    <w:p w14:paraId="7EF57978"/>
    <w:p w14:paraId="1C0BFC16">
      <w:pPr>
        <w:pStyle w:val="2"/>
      </w:pPr>
    </w:p>
    <w:p w14:paraId="57B428DF"/>
    <w:p w14:paraId="75517336">
      <w:pPr>
        <w:pStyle w:val="2"/>
      </w:pPr>
    </w:p>
    <w:p w14:paraId="44D54FA9"/>
    <w:p w14:paraId="7F562DEC">
      <w:pPr>
        <w:pStyle w:val="2"/>
      </w:pPr>
    </w:p>
    <w:p w14:paraId="01688C69"/>
    <w:p w14:paraId="7441FEAA">
      <w:pPr>
        <w:pStyle w:val="2"/>
      </w:pPr>
    </w:p>
    <w:p w14:paraId="68329E53"/>
    <w:p w14:paraId="16E67B4B">
      <w:pPr>
        <w:pStyle w:val="2"/>
      </w:pPr>
    </w:p>
    <w:p w14:paraId="0A53B2A3"/>
    <w:p w14:paraId="43AAAA03">
      <w:pPr>
        <w:pStyle w:val="2"/>
      </w:pPr>
    </w:p>
    <w:p w14:paraId="25B594A4"/>
    <w:p w14:paraId="2D8625E9">
      <w:pPr>
        <w:pStyle w:val="2"/>
      </w:pPr>
    </w:p>
    <w:p w14:paraId="0C11182D"/>
    <w:p w14:paraId="16D42396">
      <w:pPr>
        <w:pStyle w:val="2"/>
      </w:pPr>
    </w:p>
    <w:p w14:paraId="7D6E02C1"/>
    <w:p w14:paraId="6D060A4D">
      <w:pPr>
        <w:pStyle w:val="2"/>
      </w:pPr>
    </w:p>
    <w:p w14:paraId="5E1FFCC2"/>
    <w:p w14:paraId="209B6A10">
      <w:pPr>
        <w:pStyle w:val="2"/>
      </w:pPr>
    </w:p>
    <w:p w14:paraId="0F8136D7"/>
    <w:p w14:paraId="11F63CEB">
      <w:pPr>
        <w:pStyle w:val="2"/>
      </w:pPr>
    </w:p>
    <w:p w14:paraId="44395DF3">
      <w:pPr>
        <w:pStyle w:val="2"/>
        <w:ind w:firstLine="0" w:firstLineChars="0"/>
      </w:pPr>
    </w:p>
    <w:p w14:paraId="2ADE2B09"/>
    <w:p w14:paraId="522A9A14">
      <w:pPr>
        <w:widowControl/>
        <w:ind w:firstLine="1727" w:firstLineChars="400"/>
        <w:jc w:val="left"/>
      </w:pPr>
      <w:r>
        <w:rPr>
          <w:rFonts w:hint="eastAsia" w:ascii="仿宋" w:hAnsi="仿宋" w:eastAsia="仿宋" w:cs="仿宋"/>
          <w:b/>
          <w:bCs/>
          <w:color w:val="000000"/>
          <w:kern w:val="0"/>
          <w:sz w:val="43"/>
          <w:szCs w:val="43"/>
        </w:rPr>
        <w:t xml:space="preserve">建筑工地文明施工承诺书 </w:t>
      </w:r>
    </w:p>
    <w:p w14:paraId="3D514B7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为加强卫生文明建筑工地的创建工作，促进全市建筑工地文明施工，营造清 洁、优美的施工环境，树立建筑企业的良好形象，我单位有幸承建本工程施工， </w:t>
      </w:r>
    </w:p>
    <w:p w14:paraId="06FC5687">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对该工程文明施工作如下承诺： </w:t>
      </w:r>
    </w:p>
    <w:p w14:paraId="35B17784">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一、工程实行全封闭施工管理，四周按要求连续设置砖砌围墙，高度不得低 于 1.8 米，围墙内外两侧墙面用水泥砂浆抹光，涂料刷面，正立面及沿街主立面 墙体均用规范字体书写宣传标语。 </w:t>
      </w:r>
    </w:p>
    <w:p w14:paraId="786F2C2F">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二、工程施工主要出入口设置大门，大门安装铁制门，门头用广告灯箱设置 企业门头牌。 </w:t>
      </w:r>
    </w:p>
    <w:p w14:paraId="104D12B2">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三、建筑工地围墙或出入口悬挂工程概况牌、平面布置图等安全文明施工标 志牌，建立健全施工现场环境与卫生的管理制度和管理机构及专职管理人员。 </w:t>
      </w:r>
    </w:p>
    <w:p w14:paraId="0F34E3B8">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四、工程施工主要进出口道路实行硬化处理，浇筑宽 5 米以上，长 10 米以上， 厚约 10 公分的混凝土路面，大门口设置冲洗设备，安排专人负责冲洗。 </w:t>
      </w:r>
    </w:p>
    <w:p w14:paraId="37B4C53E">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五、施工围墙外不堆放建筑材料及建筑垃圾，占道施工，并随时保持工地周 边沿街路面的清洁卫生；施工围坪内各种建筑材料做到有序堆放。 </w:t>
      </w:r>
    </w:p>
    <w:p w14:paraId="455AAA36">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六、工地运输材料的车辆保持不抛撒漏，若出现立即安排人员清扫干净，运 输散状材料必须进行覆盖或采用密闭式运输车辆运输，严禁超载。 </w:t>
      </w:r>
    </w:p>
    <w:p w14:paraId="18BB4B04">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七、建筑工地脚手架二步以上张挂密目式安全网，安全网保持干净整洁，破 损安全网及时更换。 </w:t>
      </w:r>
    </w:p>
    <w:p w14:paraId="200CBCC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八、施工现场保持干净整洁，施工现场环境卫生、厕所有专人打扫，各类物 料堆放整齐，标识明确。施工道路畅通，做好场地积水、泥浆、污水、废水的排 放，建筑垃圾及时清运干净。 </w:t>
      </w:r>
    </w:p>
    <w:p w14:paraId="14668AC7">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九、我单位若未按上述承诺实施，自愿按照湖南省住房和城乡建设厅湘建建 [2010]111 号文件《关于进一步加强我省建筑工程安全防护文明施工措施费使用 管理的通知》及《湖南省建筑市场责任主体不良行为记录》的有关规定记不良行 为记录。 </w:t>
      </w:r>
    </w:p>
    <w:p w14:paraId="61471771">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特此承诺。 </w:t>
      </w:r>
    </w:p>
    <w:p w14:paraId="15EDA3D1">
      <w:pPr>
        <w:spacing w:line="360" w:lineRule="exact"/>
        <w:ind w:firstLine="560" w:firstLineChars="200"/>
        <w:rPr>
          <w:rFonts w:ascii="仿宋" w:hAnsi="仿宋" w:eastAsia="仿宋" w:cs="仿宋"/>
          <w:sz w:val="28"/>
          <w:szCs w:val="28"/>
        </w:rPr>
      </w:pPr>
    </w:p>
    <w:p w14:paraId="5F1C23BC">
      <w:pPr>
        <w:spacing w:line="360" w:lineRule="exact"/>
        <w:ind w:firstLine="560" w:firstLineChars="200"/>
        <w:rPr>
          <w:rFonts w:ascii="仿宋" w:hAnsi="仿宋" w:eastAsia="仿宋" w:cs="仿宋"/>
          <w:sz w:val="28"/>
          <w:szCs w:val="28"/>
        </w:rPr>
      </w:pPr>
    </w:p>
    <w:p w14:paraId="7FBB3D5C">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承诺人：（盖章） </w:t>
      </w:r>
    </w:p>
    <w:p w14:paraId="05D27C05">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法定代表人或其委托代理人（签字）： </w:t>
      </w:r>
    </w:p>
    <w:p w14:paraId="7716A493">
      <w:pPr>
        <w:spacing w:line="360" w:lineRule="exact"/>
        <w:ind w:firstLine="560" w:firstLineChars="200"/>
        <w:rPr>
          <w:rFonts w:ascii="仿宋" w:hAnsi="仿宋" w:eastAsia="仿宋" w:cs="仿宋"/>
          <w:sz w:val="28"/>
          <w:szCs w:val="28"/>
        </w:rPr>
      </w:pPr>
    </w:p>
    <w:p w14:paraId="19BAD970">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年 月 日</w:t>
      </w:r>
    </w:p>
    <w:p w14:paraId="69BD00C4">
      <w:pPr>
        <w:spacing w:line="360" w:lineRule="exact"/>
        <w:ind w:firstLine="560" w:firstLineChars="200"/>
        <w:rPr>
          <w:rFonts w:ascii="宋体" w:hAnsi="宋体"/>
          <w:szCs w:val="21"/>
        </w:rPr>
      </w:pPr>
      <w:r>
        <w:rPr>
          <w:rFonts w:hint="eastAsia" w:ascii="仿宋" w:hAnsi="仿宋" w:eastAsia="仿宋" w:cs="仿宋"/>
          <w:sz w:val="28"/>
          <w:szCs w:val="28"/>
        </w:rPr>
        <w:br w:type="page"/>
      </w:r>
      <w:r>
        <w:rPr>
          <w:rFonts w:ascii="宋体" w:hAnsi="宋体"/>
          <w:szCs w:val="21"/>
        </w:rPr>
        <w:t>附件</w:t>
      </w:r>
      <w:bookmarkEnd w:id="2"/>
    </w:p>
    <w:p w14:paraId="519BCC52">
      <w:pPr>
        <w:spacing w:line="480" w:lineRule="exact"/>
        <w:rPr>
          <w:rFonts w:ascii="宋体" w:hAnsi="宋体"/>
          <w:szCs w:val="21"/>
        </w:rPr>
      </w:pPr>
      <w:r>
        <w:rPr>
          <w:rFonts w:hint="eastAsia" w:ascii="宋体" w:hAnsi="宋体"/>
          <w:szCs w:val="21"/>
        </w:rPr>
        <w:t>协议书附件：</w:t>
      </w:r>
    </w:p>
    <w:p w14:paraId="3B6BD683">
      <w:pPr>
        <w:spacing w:line="480" w:lineRule="exact"/>
        <w:rPr>
          <w:rFonts w:ascii="宋体" w:hAnsi="宋体"/>
          <w:szCs w:val="21"/>
        </w:rPr>
      </w:pPr>
      <w:r>
        <w:rPr>
          <w:rFonts w:ascii="宋体" w:hAnsi="宋体"/>
          <w:szCs w:val="21"/>
        </w:rPr>
        <w:t>附件1：承包人承揽工程项目一览表</w:t>
      </w:r>
    </w:p>
    <w:p w14:paraId="65C9DD79">
      <w:pPr>
        <w:spacing w:line="480" w:lineRule="exact"/>
        <w:rPr>
          <w:rFonts w:ascii="宋体" w:hAnsi="宋体"/>
          <w:szCs w:val="21"/>
        </w:rPr>
      </w:pPr>
      <w:r>
        <w:rPr>
          <w:rFonts w:hint="eastAsia" w:ascii="宋体" w:hAnsi="宋体"/>
          <w:szCs w:val="21"/>
        </w:rPr>
        <w:t>专用合同条款附件：</w:t>
      </w:r>
    </w:p>
    <w:p w14:paraId="4E03C7EC">
      <w:pPr>
        <w:spacing w:line="480" w:lineRule="exact"/>
        <w:rPr>
          <w:rFonts w:ascii="宋体" w:hAnsi="宋体"/>
          <w:szCs w:val="21"/>
        </w:rPr>
      </w:pPr>
      <w:r>
        <w:rPr>
          <w:rFonts w:ascii="宋体" w:hAnsi="宋体"/>
          <w:szCs w:val="21"/>
        </w:rPr>
        <w:t>附件2：发包人供应材料设备一览表</w:t>
      </w:r>
    </w:p>
    <w:p w14:paraId="7D7DB893">
      <w:pPr>
        <w:spacing w:line="480" w:lineRule="exact"/>
        <w:rPr>
          <w:rFonts w:ascii="宋体" w:hAnsi="宋体"/>
          <w:szCs w:val="21"/>
        </w:rPr>
      </w:pPr>
      <w:r>
        <w:rPr>
          <w:rFonts w:ascii="宋体" w:hAnsi="宋体"/>
          <w:szCs w:val="21"/>
        </w:rPr>
        <w:t>附件3：工程质量保修书</w:t>
      </w:r>
    </w:p>
    <w:p w14:paraId="662D7444">
      <w:pPr>
        <w:spacing w:line="480" w:lineRule="exact"/>
        <w:rPr>
          <w:rFonts w:ascii="宋体" w:hAnsi="宋体"/>
          <w:szCs w:val="21"/>
        </w:rPr>
      </w:pPr>
      <w:r>
        <w:rPr>
          <w:rFonts w:ascii="宋体" w:hAnsi="宋体"/>
          <w:szCs w:val="21"/>
        </w:rPr>
        <w:t>附件4：主要建设工程文件目录</w:t>
      </w:r>
    </w:p>
    <w:p w14:paraId="2E031653">
      <w:pPr>
        <w:spacing w:line="480" w:lineRule="exact"/>
        <w:rPr>
          <w:rFonts w:ascii="宋体" w:hAnsi="宋体"/>
          <w:szCs w:val="21"/>
        </w:rPr>
      </w:pPr>
      <w:r>
        <w:rPr>
          <w:rFonts w:ascii="宋体" w:hAnsi="宋体"/>
          <w:szCs w:val="21"/>
        </w:rPr>
        <w:t>附件5：承包人用于本工程施工的机械设备表</w:t>
      </w:r>
    </w:p>
    <w:p w14:paraId="118004A7">
      <w:pPr>
        <w:spacing w:line="480" w:lineRule="exact"/>
        <w:rPr>
          <w:rFonts w:ascii="宋体" w:hAnsi="宋体"/>
          <w:szCs w:val="21"/>
        </w:rPr>
      </w:pPr>
      <w:r>
        <w:rPr>
          <w:rFonts w:ascii="宋体" w:hAnsi="宋体"/>
          <w:szCs w:val="21"/>
        </w:rPr>
        <w:t>附件6：承包人主要施工管理人员表</w:t>
      </w:r>
    </w:p>
    <w:p w14:paraId="200C43C5">
      <w:pPr>
        <w:spacing w:line="480" w:lineRule="exact"/>
        <w:rPr>
          <w:rFonts w:ascii="宋体" w:hAnsi="宋体"/>
          <w:szCs w:val="21"/>
        </w:rPr>
      </w:pPr>
      <w:r>
        <w:rPr>
          <w:rFonts w:ascii="宋体" w:hAnsi="宋体"/>
          <w:szCs w:val="21"/>
        </w:rPr>
        <w:t>附件7：分包人主要施工管理人员表</w:t>
      </w:r>
    </w:p>
    <w:p w14:paraId="47DA88D4">
      <w:pPr>
        <w:spacing w:line="480" w:lineRule="exact"/>
        <w:rPr>
          <w:rFonts w:ascii="宋体" w:hAnsi="宋体"/>
          <w:bCs/>
          <w:szCs w:val="21"/>
        </w:rPr>
      </w:pPr>
      <w:r>
        <w:rPr>
          <w:rFonts w:ascii="宋体" w:hAnsi="宋体"/>
          <w:szCs w:val="21"/>
        </w:rPr>
        <w:t>附件8：履约担保格式</w:t>
      </w:r>
      <w:r>
        <w:rPr>
          <w:rFonts w:hint="eastAsia" w:ascii="宋体" w:hAnsi="宋体"/>
          <w:bCs/>
          <w:szCs w:val="21"/>
        </w:rPr>
        <w:t>（经评审最低投标价法中标履约担保格式见本章附件4-</w:t>
      </w:r>
      <w:r>
        <w:rPr>
          <w:rFonts w:ascii="宋体" w:hAnsi="宋体"/>
          <w:bCs/>
          <w:szCs w:val="21"/>
        </w:rPr>
        <w:t>1</w:t>
      </w:r>
      <w:r>
        <w:rPr>
          <w:rFonts w:hint="eastAsia" w:ascii="宋体" w:hAnsi="宋体"/>
          <w:bCs/>
          <w:szCs w:val="21"/>
        </w:rPr>
        <w:t>）</w:t>
      </w:r>
    </w:p>
    <w:p w14:paraId="63029702">
      <w:pPr>
        <w:spacing w:line="480" w:lineRule="exact"/>
        <w:rPr>
          <w:rFonts w:ascii="宋体" w:hAnsi="宋体"/>
          <w:szCs w:val="21"/>
        </w:rPr>
      </w:pPr>
      <w:r>
        <w:rPr>
          <w:rFonts w:ascii="宋体" w:hAnsi="宋体"/>
          <w:szCs w:val="21"/>
        </w:rPr>
        <w:t>附件9：预付款担保格式</w:t>
      </w:r>
    </w:p>
    <w:p w14:paraId="34498F4D">
      <w:pPr>
        <w:spacing w:line="480" w:lineRule="exact"/>
        <w:rPr>
          <w:rFonts w:ascii="宋体" w:hAnsi="宋体"/>
          <w:szCs w:val="21"/>
        </w:rPr>
      </w:pPr>
      <w:r>
        <w:rPr>
          <w:rFonts w:ascii="宋体" w:hAnsi="宋体"/>
          <w:szCs w:val="21"/>
        </w:rPr>
        <w:t>附件10：支付担保格式</w:t>
      </w:r>
    </w:p>
    <w:p w14:paraId="0315FDF5">
      <w:pPr>
        <w:spacing w:line="480" w:lineRule="exact"/>
        <w:rPr>
          <w:rFonts w:ascii="宋体" w:hAnsi="宋体"/>
          <w:szCs w:val="21"/>
        </w:rPr>
      </w:pPr>
      <w:r>
        <w:rPr>
          <w:rFonts w:ascii="宋体" w:hAnsi="宋体"/>
          <w:szCs w:val="21"/>
        </w:rPr>
        <w:t>附件11：暂估价一览表</w:t>
      </w:r>
    </w:p>
    <w:p w14:paraId="7882CCFB">
      <w:pPr>
        <w:spacing w:line="480" w:lineRule="exact"/>
        <w:rPr>
          <w:rFonts w:ascii="宋体" w:hAnsi="宋体"/>
          <w:szCs w:val="21"/>
        </w:rPr>
      </w:pPr>
    </w:p>
    <w:p w14:paraId="55F05930">
      <w:pPr>
        <w:spacing w:line="480" w:lineRule="exact"/>
        <w:rPr>
          <w:rFonts w:ascii="宋体" w:hAnsi="宋体"/>
          <w:bCs/>
          <w:szCs w:val="21"/>
          <w:u w:val="single"/>
        </w:rPr>
      </w:pPr>
    </w:p>
    <w:p w14:paraId="00F338B8">
      <w:pPr>
        <w:spacing w:line="480" w:lineRule="exact"/>
        <w:rPr>
          <w:rFonts w:ascii="宋体" w:hAnsi="宋体"/>
          <w:bCs/>
          <w:szCs w:val="21"/>
          <w:u w:val="single"/>
        </w:rPr>
      </w:pPr>
    </w:p>
    <w:p w14:paraId="416D7447">
      <w:pPr>
        <w:spacing w:line="480" w:lineRule="exact"/>
        <w:rPr>
          <w:rFonts w:ascii="宋体" w:hAnsi="宋体"/>
          <w:bCs/>
          <w:szCs w:val="21"/>
          <w:u w:val="single"/>
        </w:rPr>
      </w:pPr>
    </w:p>
    <w:p w14:paraId="523EF2AC">
      <w:pPr>
        <w:spacing w:line="480" w:lineRule="exact"/>
        <w:rPr>
          <w:rFonts w:ascii="宋体" w:hAnsi="宋体"/>
          <w:bCs/>
          <w:szCs w:val="21"/>
          <w:u w:val="single"/>
        </w:rPr>
      </w:pPr>
    </w:p>
    <w:p w14:paraId="678328C2">
      <w:pPr>
        <w:spacing w:line="480" w:lineRule="exact"/>
        <w:rPr>
          <w:rFonts w:ascii="宋体" w:hAnsi="宋体"/>
          <w:bCs/>
          <w:szCs w:val="21"/>
          <w:u w:val="single"/>
        </w:rPr>
      </w:pPr>
    </w:p>
    <w:p w14:paraId="61DF2F0D">
      <w:pPr>
        <w:spacing w:line="480" w:lineRule="exact"/>
        <w:rPr>
          <w:rFonts w:ascii="宋体" w:hAnsi="宋体"/>
          <w:bCs/>
          <w:szCs w:val="21"/>
          <w:u w:val="single"/>
        </w:rPr>
      </w:pPr>
    </w:p>
    <w:p w14:paraId="04B0D3FC">
      <w:pPr>
        <w:spacing w:line="480" w:lineRule="exact"/>
        <w:rPr>
          <w:rFonts w:ascii="宋体" w:hAnsi="宋体"/>
          <w:bCs/>
          <w:szCs w:val="21"/>
          <w:u w:val="single"/>
        </w:rPr>
      </w:pPr>
    </w:p>
    <w:p w14:paraId="5238410B">
      <w:pPr>
        <w:spacing w:line="480" w:lineRule="exact"/>
        <w:rPr>
          <w:rFonts w:ascii="宋体" w:hAnsi="宋体"/>
          <w:bCs/>
          <w:szCs w:val="21"/>
          <w:u w:val="single"/>
        </w:rPr>
      </w:pPr>
    </w:p>
    <w:p w14:paraId="66D5B653">
      <w:pPr>
        <w:spacing w:line="480" w:lineRule="exact"/>
        <w:rPr>
          <w:rFonts w:ascii="宋体" w:hAnsi="宋体"/>
          <w:bCs/>
          <w:szCs w:val="21"/>
          <w:u w:val="single"/>
        </w:rPr>
      </w:pPr>
    </w:p>
    <w:p w14:paraId="7AC13644">
      <w:pPr>
        <w:spacing w:line="480" w:lineRule="exact"/>
        <w:rPr>
          <w:rFonts w:ascii="宋体" w:hAnsi="宋体"/>
          <w:bCs/>
          <w:szCs w:val="21"/>
        </w:rPr>
      </w:pPr>
      <w:r>
        <w:rPr>
          <w:rFonts w:hint="eastAsia" w:ascii="宋体" w:hAnsi="宋体"/>
          <w:bCs/>
          <w:szCs w:val="21"/>
        </w:rPr>
        <w:t>说明：请招标人根据《建设工程施工合同（示范文本）》（GF-2017-0201）的“附件”格式填写相关内容</w:t>
      </w:r>
    </w:p>
    <w:p w14:paraId="347EEAA4">
      <w:pPr>
        <w:spacing w:line="480" w:lineRule="exact"/>
        <w:rPr>
          <w:rFonts w:ascii="宋体" w:hAnsi="宋体"/>
          <w:szCs w:val="21"/>
        </w:rPr>
        <w:sectPr>
          <w:footerReference r:id="rId6" w:type="first"/>
          <w:footerReference r:id="rId5" w:type="default"/>
          <w:pgSz w:w="11906" w:h="16838"/>
          <w:pgMar w:top="1417" w:right="1440" w:bottom="1417" w:left="1440" w:header="850" w:footer="850" w:gutter="0"/>
          <w:cols w:space="720" w:num="1"/>
          <w:titlePg/>
          <w:docGrid w:type="lines" w:linePitch="315" w:charSpace="0"/>
        </w:sectPr>
      </w:pPr>
    </w:p>
    <w:bookmarkEnd w:id="1"/>
    <w:p w14:paraId="5E58DFA2">
      <w:pPr>
        <w:rPr>
          <w:szCs w:val="21"/>
        </w:rPr>
      </w:pPr>
      <w:r>
        <w:rPr>
          <w:rFonts w:hint="eastAsia"/>
          <w:szCs w:val="21"/>
        </w:rPr>
        <w:t>附件4-1-1：</w:t>
      </w:r>
      <w:r>
        <w:rPr>
          <w:szCs w:val="21"/>
        </w:rPr>
        <w:t>经评审最低投标价法中标履约担保格式</w:t>
      </w:r>
    </w:p>
    <w:p w14:paraId="6DB36B7B">
      <w:pPr>
        <w:jc w:val="center"/>
        <w:rPr>
          <w:rFonts w:eastAsia="黑体"/>
          <w:sz w:val="30"/>
          <w:szCs w:val="30"/>
        </w:rPr>
      </w:pPr>
    </w:p>
    <w:p w14:paraId="1BB81005">
      <w:pPr>
        <w:jc w:val="center"/>
        <w:rPr>
          <w:rFonts w:eastAsia="黑体"/>
          <w:sz w:val="30"/>
          <w:szCs w:val="30"/>
        </w:rPr>
      </w:pPr>
      <w:r>
        <w:rPr>
          <w:rFonts w:eastAsia="黑体"/>
          <w:sz w:val="30"/>
          <w:szCs w:val="30"/>
        </w:rPr>
        <w:t>履约保函（格式）</w:t>
      </w:r>
    </w:p>
    <w:p w14:paraId="36CE463C">
      <w:pPr>
        <w:spacing w:line="360" w:lineRule="auto"/>
        <w:rPr>
          <w:szCs w:val="32"/>
        </w:rPr>
      </w:pPr>
      <w:r>
        <w:rPr>
          <w:szCs w:val="32"/>
          <w:u w:val="single"/>
        </w:rPr>
        <w:t xml:space="preserve">              </w:t>
      </w:r>
      <w:r>
        <w:rPr>
          <w:szCs w:val="32"/>
        </w:rPr>
        <w:t>（受益人名称）：</w:t>
      </w:r>
    </w:p>
    <w:p w14:paraId="26303C7D">
      <w:pPr>
        <w:spacing w:line="360" w:lineRule="auto"/>
        <w:ind w:firstLine="420" w:firstLineChars="200"/>
        <w:rPr>
          <w:szCs w:val="32"/>
        </w:rPr>
      </w:pPr>
      <w:r>
        <w:rPr>
          <w:szCs w:val="32"/>
        </w:rPr>
        <w:t>鉴于你方作为招标人已经于</w:t>
      </w:r>
      <w:r>
        <w:rPr>
          <w:szCs w:val="32"/>
          <w:u w:val="single"/>
        </w:rPr>
        <w:t xml:space="preserve">         </w:t>
      </w:r>
      <w:r>
        <w:rPr>
          <w:szCs w:val="32"/>
        </w:rPr>
        <w:t>年</w:t>
      </w:r>
      <w:r>
        <w:rPr>
          <w:szCs w:val="32"/>
          <w:u w:val="single"/>
        </w:rPr>
        <w:t xml:space="preserve">     </w:t>
      </w:r>
      <w:r>
        <w:rPr>
          <w:szCs w:val="32"/>
        </w:rPr>
        <w:t>月</w:t>
      </w:r>
      <w:r>
        <w:rPr>
          <w:szCs w:val="32"/>
          <w:u w:val="single"/>
        </w:rPr>
        <w:t xml:space="preserve">      </w:t>
      </w:r>
      <w:r>
        <w:rPr>
          <w:szCs w:val="32"/>
        </w:rPr>
        <w:t>日向</w:t>
      </w:r>
      <w:r>
        <w:rPr>
          <w:szCs w:val="32"/>
          <w:u w:val="single"/>
        </w:rPr>
        <w:t xml:space="preserve">                              </w:t>
      </w:r>
      <w:r>
        <w:rPr>
          <w:szCs w:val="32"/>
        </w:rPr>
        <w:t>公司（以下称“中标人”）发出</w:t>
      </w:r>
      <w:r>
        <w:rPr>
          <w:szCs w:val="32"/>
          <w:u w:val="single"/>
        </w:rPr>
        <w:t xml:space="preserve">  （</w:t>
      </w:r>
      <w:r>
        <w:rPr>
          <w:rFonts w:hint="eastAsia"/>
          <w:szCs w:val="32"/>
          <w:u w:val="single"/>
        </w:rPr>
        <w:t>招标项目及标段</w:t>
      </w:r>
      <w:r>
        <w:rPr>
          <w:szCs w:val="32"/>
          <w:u w:val="single"/>
        </w:rPr>
        <w:t>）</w:t>
      </w:r>
      <w:r>
        <w:rPr>
          <w:rFonts w:hint="eastAsia"/>
          <w:szCs w:val="32"/>
          <w:u w:val="single"/>
        </w:rPr>
        <w:t xml:space="preserve">  </w:t>
      </w:r>
      <w:r>
        <w:rPr>
          <w:szCs w:val="32"/>
        </w:rPr>
        <w:t>发出中标通知书，我方愿意无条件、不可撤销地就中标人履行与你方签订的工程建设合同义务，向你方出具见索即付保函：</w:t>
      </w:r>
    </w:p>
    <w:p w14:paraId="77684D44">
      <w:pPr>
        <w:spacing w:line="360" w:lineRule="auto"/>
        <w:ind w:firstLine="420" w:firstLineChars="200"/>
        <w:rPr>
          <w:szCs w:val="32"/>
        </w:rPr>
      </w:pPr>
      <w:r>
        <w:rPr>
          <w:szCs w:val="32"/>
        </w:rPr>
        <w:t>1．本保函最高担保金额人民币（大写）</w:t>
      </w:r>
      <w:r>
        <w:rPr>
          <w:szCs w:val="32"/>
          <w:u w:val="single"/>
        </w:rPr>
        <w:t xml:space="preserve">             </w:t>
      </w:r>
      <w:r>
        <w:rPr>
          <w:szCs w:val="32"/>
        </w:rPr>
        <w:t xml:space="preserve"> 元（¥</w:t>
      </w:r>
      <w:r>
        <w:rPr>
          <w:szCs w:val="32"/>
          <w:u w:val="single"/>
        </w:rPr>
        <w:t xml:space="preserve">             </w:t>
      </w:r>
      <w:r>
        <w:rPr>
          <w:szCs w:val="32"/>
        </w:rPr>
        <w:t>）。</w:t>
      </w:r>
    </w:p>
    <w:p w14:paraId="779A6AAF">
      <w:pPr>
        <w:spacing w:line="360" w:lineRule="auto"/>
        <w:ind w:firstLine="420" w:firstLineChars="200"/>
        <w:rPr>
          <w:szCs w:val="32"/>
        </w:rPr>
      </w:pPr>
      <w:r>
        <w:rPr>
          <w:szCs w:val="32"/>
        </w:rPr>
        <w:t>2．本保函有效期自保函签发之日起至合同约定的主要义务履行完毕止，或者至我方收到你方与中标人共同签署的解除工程建设合同的书面通知书，或者建设工程中止施工超过3个月的书面通知书止。但本保函有效期最迟不超过</w:t>
      </w:r>
      <w:r>
        <w:rPr>
          <w:szCs w:val="32"/>
          <w:u w:val="single"/>
        </w:rPr>
        <w:t xml:space="preserve">      </w:t>
      </w:r>
      <w:r>
        <w:rPr>
          <w:szCs w:val="32"/>
        </w:rPr>
        <w:t>年</w:t>
      </w:r>
      <w:r>
        <w:rPr>
          <w:szCs w:val="32"/>
          <w:u w:val="single"/>
        </w:rPr>
        <w:t xml:space="preserve">   </w:t>
      </w:r>
      <w:r>
        <w:rPr>
          <w:szCs w:val="32"/>
        </w:rPr>
        <w:t>月</w:t>
      </w:r>
      <w:r>
        <w:rPr>
          <w:szCs w:val="32"/>
          <w:u w:val="single"/>
        </w:rPr>
        <w:t xml:space="preserve">   </w:t>
      </w:r>
      <w:r>
        <w:rPr>
          <w:szCs w:val="32"/>
        </w:rPr>
        <w:t>日。</w:t>
      </w:r>
    </w:p>
    <w:p w14:paraId="570C8E76">
      <w:pPr>
        <w:spacing w:line="360" w:lineRule="auto"/>
        <w:ind w:firstLine="420" w:firstLineChars="200"/>
        <w:rPr>
          <w:szCs w:val="32"/>
        </w:rPr>
      </w:pPr>
      <w:r>
        <w:rPr>
          <w:szCs w:val="32"/>
        </w:rPr>
        <w:t>3．在本保函有效期内，因中标人未能按照合同约定履行义务时，我方在收到你方提出的书面索赔通知以及本保函原件后，在10个工作日内无条件地向你方支付累计总额不超过本保函第1款约定的经济赔偿金。</w:t>
      </w:r>
    </w:p>
    <w:p w14:paraId="18CBEE54">
      <w:pPr>
        <w:spacing w:line="360" w:lineRule="auto"/>
        <w:ind w:firstLine="420" w:firstLineChars="200"/>
        <w:rPr>
          <w:szCs w:val="32"/>
        </w:rPr>
      </w:pPr>
      <w:r>
        <w:rPr>
          <w:szCs w:val="32"/>
        </w:rPr>
        <w:t>4．你方的索赔通知应当符合下列要求：</w:t>
      </w:r>
    </w:p>
    <w:p w14:paraId="7D3C7883">
      <w:pPr>
        <w:spacing w:line="360" w:lineRule="auto"/>
        <w:ind w:firstLine="420" w:firstLineChars="200"/>
        <w:rPr>
          <w:szCs w:val="32"/>
        </w:rPr>
      </w:pPr>
      <w:r>
        <w:rPr>
          <w:szCs w:val="32"/>
        </w:rPr>
        <w:t>（1）索赔通知应当列明索赔金额，由你方加盖单位公章和法定代表人印章；</w:t>
      </w:r>
    </w:p>
    <w:p w14:paraId="73814AE8">
      <w:pPr>
        <w:spacing w:line="360" w:lineRule="auto"/>
        <w:ind w:firstLine="420" w:firstLineChars="200"/>
        <w:rPr>
          <w:szCs w:val="32"/>
        </w:rPr>
      </w:pPr>
      <w:r>
        <w:rPr>
          <w:szCs w:val="32"/>
        </w:rPr>
        <w:t>（2）提交索赔通知的同时出具一份书面申明，申明索赔款项并未由中标人或其委托代理人直接或间接地支付给你方；</w:t>
      </w:r>
    </w:p>
    <w:p w14:paraId="14434333">
      <w:pPr>
        <w:spacing w:line="360" w:lineRule="auto"/>
        <w:rPr>
          <w:szCs w:val="32"/>
        </w:rPr>
      </w:pPr>
      <w:r>
        <w:rPr>
          <w:szCs w:val="32"/>
        </w:rPr>
        <w:t>（3）索赔通知书必须在本保函有效期内邮寄或送达以下地址：</w:t>
      </w:r>
      <w:r>
        <w:rPr>
          <w:szCs w:val="32"/>
          <w:u w:val="single"/>
        </w:rPr>
        <w:t xml:space="preserve">                           </w:t>
      </w:r>
      <w:r>
        <w:rPr>
          <w:szCs w:val="32"/>
        </w:rPr>
        <w:t>。</w:t>
      </w:r>
    </w:p>
    <w:p w14:paraId="6144BBD4">
      <w:pPr>
        <w:spacing w:line="360" w:lineRule="auto"/>
        <w:ind w:firstLine="420" w:firstLineChars="200"/>
        <w:rPr>
          <w:szCs w:val="32"/>
        </w:rPr>
      </w:pPr>
      <w:r>
        <w:rPr>
          <w:szCs w:val="32"/>
        </w:rPr>
        <w:t>5．你方和中标人变更合同时，我方承担本保函规定的义务不变。</w:t>
      </w:r>
    </w:p>
    <w:p w14:paraId="50287E05">
      <w:pPr>
        <w:spacing w:line="360" w:lineRule="auto"/>
        <w:ind w:firstLine="420" w:firstLineChars="200"/>
        <w:rPr>
          <w:szCs w:val="32"/>
        </w:rPr>
      </w:pPr>
      <w:r>
        <w:rPr>
          <w:szCs w:val="32"/>
        </w:rPr>
        <w:t>6．本保函项下的权利不得转让或设定担保。</w:t>
      </w:r>
    </w:p>
    <w:p w14:paraId="0643B320">
      <w:pPr>
        <w:spacing w:line="360" w:lineRule="auto"/>
        <w:ind w:firstLine="420" w:firstLineChars="200"/>
        <w:rPr>
          <w:szCs w:val="32"/>
        </w:rPr>
      </w:pPr>
      <w:r>
        <w:rPr>
          <w:szCs w:val="32"/>
        </w:rPr>
        <w:t>7．本保函有效期届满，或者我方收到你方与中标人共同签署的解除工程建设合同的书面通知书，或者建设工程项目中止施工超过3个月的书面通知书后，无论是否将保函原件退回我方，本保函自行失效。我方在本保函项下的保证责任解除，此后提出的要求我方履行担保责任的主张无效。</w:t>
      </w:r>
    </w:p>
    <w:p w14:paraId="7F9E1147">
      <w:pPr>
        <w:spacing w:line="360" w:lineRule="auto"/>
        <w:ind w:firstLine="420" w:firstLineChars="200"/>
        <w:rPr>
          <w:szCs w:val="32"/>
        </w:rPr>
      </w:pPr>
      <w:r>
        <w:rPr>
          <w:szCs w:val="32"/>
        </w:rPr>
        <w:t>8．本保函项下所有权利和义务均受中华人民共和国法律管辖和制约。</w:t>
      </w:r>
    </w:p>
    <w:p w14:paraId="12A07294">
      <w:pPr>
        <w:spacing w:line="360" w:lineRule="auto"/>
        <w:ind w:firstLine="420" w:firstLineChars="200"/>
        <w:rPr>
          <w:szCs w:val="32"/>
        </w:rPr>
      </w:pPr>
    </w:p>
    <w:p w14:paraId="2CE5C4D2">
      <w:pPr>
        <w:spacing w:line="360" w:lineRule="auto"/>
        <w:ind w:firstLine="420" w:firstLineChars="200"/>
        <w:rPr>
          <w:szCs w:val="32"/>
        </w:rPr>
      </w:pPr>
      <w:r>
        <w:rPr>
          <w:szCs w:val="32"/>
        </w:rPr>
        <w:t>开立人：</w:t>
      </w:r>
      <w:r>
        <w:rPr>
          <w:szCs w:val="32"/>
          <w:u w:val="single"/>
        </w:rPr>
        <w:t xml:space="preserve">                                 </w:t>
      </w:r>
      <w:r>
        <w:rPr>
          <w:szCs w:val="32"/>
        </w:rPr>
        <w:t>（盖章）</w:t>
      </w:r>
    </w:p>
    <w:p w14:paraId="48235ACE">
      <w:pPr>
        <w:spacing w:line="360" w:lineRule="auto"/>
        <w:ind w:firstLine="420" w:firstLineChars="200"/>
        <w:rPr>
          <w:szCs w:val="32"/>
        </w:rPr>
      </w:pPr>
      <w:r>
        <w:rPr>
          <w:szCs w:val="32"/>
        </w:rPr>
        <w:t>法定代表人（负责人）：</w:t>
      </w:r>
      <w:r>
        <w:rPr>
          <w:szCs w:val="32"/>
          <w:u w:val="single"/>
        </w:rPr>
        <w:t xml:space="preserve">              </w:t>
      </w:r>
      <w:r>
        <w:rPr>
          <w:szCs w:val="32"/>
        </w:rPr>
        <w:t>（签字或盖章）</w:t>
      </w:r>
    </w:p>
    <w:p w14:paraId="6CB027F1">
      <w:pPr>
        <w:spacing w:line="360" w:lineRule="auto"/>
        <w:ind w:firstLine="420" w:firstLineChars="200"/>
        <w:rPr>
          <w:szCs w:val="32"/>
        </w:rPr>
      </w:pPr>
      <w:r>
        <w:rPr>
          <w:szCs w:val="32"/>
        </w:rPr>
        <w:t>地址：</w:t>
      </w:r>
      <w:r>
        <w:rPr>
          <w:szCs w:val="32"/>
          <w:u w:val="single"/>
        </w:rPr>
        <w:t xml:space="preserve">                                           </w:t>
      </w:r>
    </w:p>
    <w:p w14:paraId="1E833B94">
      <w:pPr>
        <w:spacing w:line="360" w:lineRule="auto"/>
        <w:ind w:firstLine="420" w:firstLineChars="200"/>
        <w:rPr>
          <w:szCs w:val="32"/>
          <w:u w:val="single"/>
        </w:rPr>
      </w:pPr>
      <w:r>
        <w:rPr>
          <w:szCs w:val="32"/>
        </w:rPr>
        <w:t>邮政编码：</w:t>
      </w:r>
      <w:r>
        <w:rPr>
          <w:szCs w:val="32"/>
          <w:u w:val="single"/>
        </w:rPr>
        <w:t xml:space="preserve">                                       </w:t>
      </w:r>
    </w:p>
    <w:p w14:paraId="6DF3661C">
      <w:pPr>
        <w:spacing w:line="360" w:lineRule="auto"/>
        <w:ind w:firstLine="420" w:firstLineChars="200"/>
        <w:rPr>
          <w:szCs w:val="32"/>
        </w:rPr>
      </w:pPr>
      <w:r>
        <w:rPr>
          <w:szCs w:val="32"/>
        </w:rPr>
        <w:t>电话：</w:t>
      </w:r>
      <w:r>
        <w:rPr>
          <w:szCs w:val="32"/>
          <w:u w:val="single"/>
        </w:rPr>
        <w:t xml:space="preserve">                                           </w:t>
      </w:r>
    </w:p>
    <w:p w14:paraId="610CBDD4">
      <w:pPr>
        <w:spacing w:line="360" w:lineRule="auto"/>
        <w:ind w:firstLine="420" w:firstLineChars="200"/>
        <w:rPr>
          <w:szCs w:val="32"/>
          <w:u w:val="single"/>
        </w:rPr>
      </w:pPr>
      <w:r>
        <w:rPr>
          <w:szCs w:val="32"/>
        </w:rPr>
        <w:t>传真：</w:t>
      </w:r>
      <w:r>
        <w:rPr>
          <w:szCs w:val="32"/>
          <w:u w:val="single"/>
        </w:rPr>
        <w:t xml:space="preserve">                                           </w:t>
      </w:r>
    </w:p>
    <w:p w14:paraId="1FC12BE1">
      <w:pPr>
        <w:spacing w:line="360" w:lineRule="auto"/>
        <w:ind w:firstLine="420" w:firstLineChars="200"/>
        <w:rPr>
          <w:szCs w:val="32"/>
        </w:rPr>
      </w:pPr>
    </w:p>
    <w:p w14:paraId="6AA2E4EB">
      <w:pPr>
        <w:spacing w:line="360" w:lineRule="auto"/>
        <w:ind w:firstLine="420" w:firstLineChars="200"/>
        <w:rPr>
          <w:szCs w:val="32"/>
        </w:rPr>
      </w:pPr>
      <w:r>
        <w:rPr>
          <w:szCs w:val="32"/>
        </w:rPr>
        <w:t xml:space="preserve"> 　　　　　　　　　　　　　            　</w:t>
      </w:r>
      <w:r>
        <w:rPr>
          <w:szCs w:val="32"/>
          <w:u w:val="single"/>
        </w:rPr>
        <w:t xml:space="preserve">      </w:t>
      </w:r>
      <w:r>
        <w:rPr>
          <w:szCs w:val="32"/>
        </w:rPr>
        <w:t>年</w:t>
      </w:r>
      <w:r>
        <w:rPr>
          <w:szCs w:val="32"/>
          <w:u w:val="single"/>
        </w:rPr>
        <w:t xml:space="preserve">   </w:t>
      </w:r>
      <w:r>
        <w:rPr>
          <w:szCs w:val="32"/>
        </w:rPr>
        <w:t>月</w:t>
      </w:r>
      <w:r>
        <w:rPr>
          <w:szCs w:val="32"/>
          <w:u w:val="single"/>
        </w:rPr>
        <w:t xml:space="preserve">   </w:t>
      </w:r>
      <w:r>
        <w:rPr>
          <w:szCs w:val="32"/>
        </w:rPr>
        <w:t>日</w:t>
      </w:r>
    </w:p>
    <w:p w14:paraId="55B55A23">
      <w:pPr>
        <w:widowControl/>
        <w:jc w:val="left"/>
        <w:rPr>
          <w:szCs w:val="32"/>
        </w:rPr>
      </w:pPr>
      <w:r>
        <w:rPr>
          <w:szCs w:val="32"/>
        </w:rPr>
        <w:br w:type="page"/>
      </w:r>
    </w:p>
    <w:p w14:paraId="4D4F2B40">
      <w:pPr>
        <w:rPr>
          <w:szCs w:val="32"/>
        </w:rPr>
      </w:pPr>
      <w:r>
        <w:rPr>
          <w:rFonts w:hint="eastAsia"/>
          <w:szCs w:val="21"/>
        </w:rPr>
        <w:t>附件4-1-2：</w:t>
      </w:r>
      <w:r>
        <w:rPr>
          <w:szCs w:val="21"/>
        </w:rPr>
        <w:t>经评审最低投标价法中标履约担保格式</w:t>
      </w:r>
    </w:p>
    <w:p w14:paraId="3AA9BB64">
      <w:pPr>
        <w:jc w:val="center"/>
        <w:rPr>
          <w:rFonts w:eastAsia="黑体"/>
          <w:sz w:val="30"/>
          <w:szCs w:val="30"/>
        </w:rPr>
      </w:pPr>
    </w:p>
    <w:p w14:paraId="79BA3AA9">
      <w:pPr>
        <w:jc w:val="center"/>
        <w:rPr>
          <w:rFonts w:eastAsia="黑体"/>
          <w:sz w:val="30"/>
          <w:szCs w:val="30"/>
        </w:rPr>
      </w:pPr>
      <w:r>
        <w:rPr>
          <w:rFonts w:hint="eastAsia" w:eastAsia="黑体"/>
          <w:sz w:val="30"/>
          <w:szCs w:val="30"/>
        </w:rPr>
        <w:t>建设工程施工履约保证保险</w:t>
      </w:r>
    </w:p>
    <w:p w14:paraId="25329CEB">
      <w:pPr>
        <w:jc w:val="center"/>
        <w:rPr>
          <w:rFonts w:eastAsia="黑体"/>
          <w:sz w:val="30"/>
          <w:szCs w:val="30"/>
        </w:rPr>
      </w:pPr>
    </w:p>
    <w:p w14:paraId="274523FA">
      <w:pPr>
        <w:pStyle w:val="134"/>
        <w:snapToGrid w:val="0"/>
        <w:spacing w:after="0" w:line="380" w:lineRule="exact"/>
        <w:rPr>
          <w:rFonts w:hAnsi="宋体" w:cs="宋体"/>
          <w:sz w:val="21"/>
          <w:szCs w:val="21"/>
        </w:rPr>
      </w:pPr>
      <w:r>
        <w:rPr>
          <w:rFonts w:hint="eastAsia" w:hAnsi="宋体" w:cs="宋体"/>
          <w:sz w:val="21"/>
          <w:szCs w:val="21"/>
        </w:rPr>
        <w:t>致：</w:t>
      </w:r>
      <w:r>
        <w:rPr>
          <w:rFonts w:hint="eastAsia" w:hAnsi="宋体" w:cs="宋体"/>
          <w:sz w:val="21"/>
          <w:szCs w:val="21"/>
          <w:u w:val="single"/>
        </w:rPr>
        <w:t xml:space="preserve">                         （招标人名称）</w:t>
      </w:r>
      <w:r>
        <w:rPr>
          <w:rFonts w:hint="eastAsia" w:hAnsi="宋体" w:cs="宋体"/>
          <w:sz w:val="21"/>
          <w:szCs w:val="21"/>
        </w:rPr>
        <w:t xml:space="preserve">： </w:t>
      </w:r>
    </w:p>
    <w:p w14:paraId="59C125EE">
      <w:pPr>
        <w:pStyle w:val="134"/>
        <w:snapToGrid w:val="0"/>
        <w:spacing w:after="0" w:line="380" w:lineRule="exact"/>
        <w:ind w:firstLine="420" w:firstLineChars="200"/>
        <w:rPr>
          <w:rFonts w:hAnsi="宋体" w:cs="宋体"/>
          <w:sz w:val="21"/>
          <w:szCs w:val="21"/>
        </w:rPr>
      </w:pPr>
      <w:r>
        <w:rPr>
          <w:rFonts w:hint="eastAsia" w:hAnsi="宋体" w:cs="宋体"/>
          <w:sz w:val="21"/>
          <w:szCs w:val="21"/>
        </w:rPr>
        <w:t>鉴于</w:t>
      </w:r>
      <w:r>
        <w:rPr>
          <w:rFonts w:hint="eastAsia" w:hAnsi="宋体" w:cs="宋体"/>
          <w:sz w:val="21"/>
          <w:szCs w:val="21"/>
          <w:u w:val="single" w:color="000000"/>
        </w:rPr>
        <w:t xml:space="preserve">                        </w:t>
      </w:r>
      <w:r>
        <w:rPr>
          <w:rFonts w:hint="eastAsia" w:hAnsi="宋体" w:cs="宋体"/>
          <w:sz w:val="21"/>
          <w:szCs w:val="21"/>
        </w:rPr>
        <w:t>（以下简称“中标人”）于</w:t>
      </w:r>
      <w:r>
        <w:rPr>
          <w:rFonts w:hint="eastAsia" w:hAnsi="宋体" w:cs="宋体"/>
          <w:sz w:val="21"/>
          <w:szCs w:val="21"/>
          <w:u w:val="single"/>
        </w:rPr>
        <w:t xml:space="preserve">      </w:t>
      </w:r>
      <w:r>
        <w:rPr>
          <w:rFonts w:hint="eastAsia" w:hAnsi="宋体" w:cs="宋体"/>
          <w:sz w:val="21"/>
          <w:szCs w:val="21"/>
        </w:rPr>
        <w:t>年</w:t>
      </w:r>
      <w:r>
        <w:rPr>
          <w:rFonts w:hint="eastAsia" w:hAnsi="宋体" w:cs="宋体"/>
          <w:sz w:val="21"/>
          <w:szCs w:val="21"/>
          <w:u w:val="single"/>
        </w:rPr>
        <w:t xml:space="preserve">    </w:t>
      </w:r>
      <w:r>
        <w:rPr>
          <w:rFonts w:hint="eastAsia" w:hAnsi="宋体" w:cs="宋体"/>
          <w:sz w:val="21"/>
          <w:szCs w:val="21"/>
        </w:rPr>
        <w:t xml:space="preserve">月 </w:t>
      </w:r>
      <w:r>
        <w:rPr>
          <w:rFonts w:hint="eastAsia" w:hAnsi="宋体" w:cs="宋体"/>
          <w:sz w:val="21"/>
          <w:szCs w:val="21"/>
          <w:u w:val="single"/>
        </w:rPr>
        <w:t xml:space="preserve">    </w:t>
      </w:r>
      <w:r>
        <w:rPr>
          <w:rFonts w:hint="eastAsia" w:hAnsi="宋体" w:cs="宋体"/>
          <w:sz w:val="21"/>
          <w:szCs w:val="21"/>
        </w:rPr>
        <w:t>日参加你方组织的</w:t>
      </w:r>
      <w:r>
        <w:rPr>
          <w:rFonts w:hint="eastAsia" w:hAnsi="宋体" w:cs="宋体"/>
          <w:sz w:val="21"/>
          <w:szCs w:val="21"/>
          <w:u w:val="single"/>
        </w:rPr>
        <w:t xml:space="preserve">                  </w:t>
      </w:r>
      <w:r>
        <w:rPr>
          <w:rFonts w:hint="eastAsia" w:hAnsi="宋体" w:cs="宋体"/>
          <w:bCs/>
          <w:sz w:val="21"/>
          <w:szCs w:val="21"/>
          <w:u w:val="single"/>
        </w:rPr>
        <w:t>（招标项目及标段）</w:t>
      </w:r>
      <w:r>
        <w:rPr>
          <w:rFonts w:hint="eastAsia" w:hAnsi="宋体" w:cs="宋体"/>
          <w:sz w:val="21"/>
          <w:szCs w:val="21"/>
        </w:rPr>
        <w:t>施工的招标投标，并收到你方发出的中标通知书。现中标人向我方投保建设工程施工合同履约保证保险（保险单号：              ）。我方愿就中标人履行《建设工程施工合同》约定的义务向贵方提供如下保证保险：</w:t>
      </w:r>
    </w:p>
    <w:p w14:paraId="410659AE">
      <w:pPr>
        <w:widowControl/>
        <w:snapToGrid w:val="0"/>
        <w:spacing w:line="380" w:lineRule="exact"/>
        <w:ind w:firstLine="420" w:firstLineChars="200"/>
        <w:rPr>
          <w:rFonts w:ascii="宋体" w:hAnsi="宋体" w:cs="宋体"/>
          <w:szCs w:val="21"/>
        </w:rPr>
      </w:pPr>
      <w:r>
        <w:rPr>
          <w:rFonts w:hint="eastAsia" w:ascii="宋体" w:hAnsi="宋体" w:cs="宋体"/>
          <w:szCs w:val="21"/>
        </w:rPr>
        <w:t>一、保证保险金额</w:t>
      </w:r>
    </w:p>
    <w:p w14:paraId="058CC80E">
      <w:pPr>
        <w:widowControl/>
        <w:snapToGrid w:val="0"/>
        <w:spacing w:line="380" w:lineRule="exact"/>
        <w:ind w:firstLine="420" w:firstLineChars="200"/>
        <w:rPr>
          <w:rFonts w:ascii="宋体" w:hAnsi="宋体" w:cs="宋体"/>
          <w:szCs w:val="21"/>
        </w:rPr>
      </w:pPr>
      <w:r>
        <w:rPr>
          <w:rFonts w:hint="eastAsia" w:ascii="宋体" w:hAnsi="宋体" w:cs="宋体"/>
          <w:szCs w:val="21"/>
        </w:rPr>
        <w:t>我方承担的履约保证保险的保险金额（最高限额）为人民币</w:t>
      </w:r>
      <w:r>
        <w:rPr>
          <w:rFonts w:hint="eastAsia" w:ascii="宋体" w:hAnsi="宋体" w:cs="宋体"/>
          <w:bCs/>
          <w:szCs w:val="21"/>
        </w:rPr>
        <w:t>（大写）</w:t>
      </w:r>
      <w:r>
        <w:rPr>
          <w:rFonts w:hint="eastAsia" w:ascii="宋体" w:hAnsi="宋体" w:cs="宋体"/>
          <w:szCs w:val="21"/>
          <w:u w:val="single"/>
        </w:rPr>
        <w:t xml:space="preserve">          </w:t>
      </w:r>
      <w:r>
        <w:rPr>
          <w:rFonts w:hint="eastAsia" w:ascii="宋体" w:hAnsi="宋体" w:cs="宋体"/>
          <w:szCs w:val="21"/>
        </w:rPr>
        <w:t>元</w:t>
      </w:r>
      <w:r>
        <w:rPr>
          <w:szCs w:val="32"/>
        </w:rPr>
        <w:t>（¥</w:t>
      </w:r>
      <w:r>
        <w:rPr>
          <w:szCs w:val="32"/>
          <w:u w:val="single"/>
        </w:rPr>
        <w:t xml:space="preserve">             </w:t>
      </w:r>
      <w:r>
        <w:rPr>
          <w:szCs w:val="32"/>
        </w:rPr>
        <w:t xml:space="preserve"> ）</w:t>
      </w:r>
      <w:r>
        <w:rPr>
          <w:rFonts w:hint="eastAsia" w:ascii="宋体" w:hAnsi="宋体" w:cs="宋体"/>
          <w:szCs w:val="21"/>
        </w:rPr>
        <w:t>。</w:t>
      </w:r>
    </w:p>
    <w:p w14:paraId="4FDA8849">
      <w:pPr>
        <w:widowControl/>
        <w:snapToGrid w:val="0"/>
        <w:spacing w:line="380" w:lineRule="exact"/>
        <w:ind w:firstLine="420" w:firstLineChars="200"/>
        <w:rPr>
          <w:rFonts w:ascii="宋体" w:hAnsi="宋体" w:cs="宋体"/>
          <w:szCs w:val="21"/>
        </w:rPr>
      </w:pPr>
      <w:r>
        <w:rPr>
          <w:rFonts w:hint="eastAsia" w:ascii="宋体" w:hAnsi="宋体" w:cs="宋体"/>
          <w:szCs w:val="21"/>
        </w:rPr>
        <w:t>二、保证保险的责任范围</w:t>
      </w:r>
    </w:p>
    <w:p w14:paraId="01B8FD78">
      <w:pPr>
        <w:snapToGrid w:val="0"/>
        <w:spacing w:line="380" w:lineRule="exact"/>
        <w:ind w:firstLine="420" w:firstLineChars="200"/>
        <w:jc w:val="left"/>
        <w:rPr>
          <w:rFonts w:ascii="宋体" w:hAnsi="宋体" w:cs="宋体"/>
          <w:szCs w:val="21"/>
        </w:rPr>
      </w:pPr>
      <w:r>
        <w:rPr>
          <w:rFonts w:hint="eastAsia" w:ascii="宋体" w:hAnsi="宋体" w:cs="宋体"/>
          <w:szCs w:val="21"/>
        </w:rPr>
        <w:t>在保险期间内，中标人（投保人）因自身原因未按照与招标人（被保险人）签订的《建设工程施工合同》（合同编号</w:t>
      </w:r>
      <w:r>
        <w:rPr>
          <w:rFonts w:hint="eastAsia" w:ascii="宋体" w:hAnsi="宋体" w:cs="宋体"/>
          <w:szCs w:val="21"/>
          <w:u w:val="single"/>
        </w:rPr>
        <w:t xml:space="preserve">                           </w:t>
      </w:r>
      <w:r>
        <w:rPr>
          <w:rFonts w:hint="eastAsia" w:ascii="宋体" w:hAnsi="宋体" w:cs="宋体"/>
          <w:szCs w:val="21"/>
        </w:rPr>
        <w:t>）履行相关义务，导致工程竣工延误或工程质量不符合建设工程施工合同要求，给被保险人造成直接经济损失的，被保险人可向保险人提出索赔，保险人按照保险合同的约定承担损失赔偿责任。</w:t>
      </w:r>
    </w:p>
    <w:p w14:paraId="7FFDC625">
      <w:pPr>
        <w:snapToGrid w:val="0"/>
        <w:spacing w:line="380" w:lineRule="exact"/>
        <w:ind w:firstLine="420" w:firstLineChars="200"/>
        <w:jc w:val="left"/>
        <w:rPr>
          <w:rFonts w:ascii="宋体" w:hAnsi="宋体" w:cs="宋体"/>
          <w:szCs w:val="21"/>
        </w:rPr>
      </w:pPr>
      <w:r>
        <w:rPr>
          <w:rFonts w:hint="eastAsia" w:ascii="宋体" w:hAnsi="宋体" w:cs="宋体"/>
          <w:szCs w:val="21"/>
        </w:rPr>
        <w:t>三、代偿的安排</w:t>
      </w:r>
    </w:p>
    <w:p w14:paraId="031E1117">
      <w:pPr>
        <w:snapToGrid w:val="0"/>
        <w:spacing w:line="380" w:lineRule="exact"/>
        <w:ind w:firstLine="420" w:firstLineChars="200"/>
        <w:jc w:val="left"/>
        <w:rPr>
          <w:rFonts w:ascii="宋体" w:hAnsi="宋体" w:cs="宋体"/>
          <w:szCs w:val="21"/>
        </w:rPr>
      </w:pPr>
      <w:r>
        <w:rPr>
          <w:rFonts w:hint="eastAsia" w:ascii="宋体" w:hAnsi="宋体" w:cs="宋体"/>
          <w:szCs w:val="21"/>
        </w:rPr>
        <w:t>贵方要求我方承担保证保险责任的，应向我方发出书面索赔通知。索赔通知应写明要求索赔的金额，支付款项应到达的帐号，并附有说明中标人违约造成贵方损失情况的证明材料。</w:t>
      </w:r>
    </w:p>
    <w:p w14:paraId="0A78C4D3">
      <w:pPr>
        <w:snapToGrid w:val="0"/>
        <w:spacing w:line="380" w:lineRule="exact"/>
        <w:ind w:firstLine="420" w:firstLineChars="200"/>
        <w:jc w:val="left"/>
        <w:rPr>
          <w:rFonts w:ascii="宋体" w:hAnsi="宋体" w:cs="宋体"/>
          <w:szCs w:val="21"/>
        </w:rPr>
      </w:pPr>
      <w:r>
        <w:rPr>
          <w:rFonts w:hint="eastAsia" w:ascii="宋体" w:hAnsi="宋体" w:cs="宋体"/>
          <w:szCs w:val="21"/>
        </w:rPr>
        <w:t>我方收到贵方的书面索赔通知及相应证明材料后，在</w:t>
      </w:r>
      <w:r>
        <w:rPr>
          <w:rFonts w:hint="eastAsia" w:ascii="宋体" w:hAnsi="宋体" w:cs="宋体"/>
          <w:szCs w:val="21"/>
          <w:u w:val="single"/>
        </w:rPr>
        <w:t>10</w:t>
      </w:r>
      <w:r>
        <w:rPr>
          <w:rFonts w:hint="eastAsia" w:ascii="宋体" w:hAnsi="宋体" w:cs="宋体"/>
          <w:szCs w:val="21"/>
        </w:rPr>
        <w:t>个工作日内进行核定后，按照保险合同的约定承诺承担保证保险责任。</w:t>
      </w:r>
    </w:p>
    <w:p w14:paraId="57A3320B">
      <w:pPr>
        <w:snapToGrid w:val="0"/>
        <w:spacing w:line="380" w:lineRule="exact"/>
        <w:ind w:firstLine="420" w:firstLineChars="200"/>
        <w:jc w:val="left"/>
        <w:rPr>
          <w:rFonts w:ascii="宋体" w:hAnsi="宋体" w:cs="宋体"/>
          <w:szCs w:val="21"/>
        </w:rPr>
      </w:pPr>
      <w:r>
        <w:rPr>
          <w:rFonts w:hint="eastAsia" w:ascii="宋体" w:hAnsi="宋体" w:cs="宋体"/>
          <w:szCs w:val="21"/>
        </w:rPr>
        <w:t>四、保单凭证有效期</w:t>
      </w:r>
    </w:p>
    <w:p w14:paraId="695B1326">
      <w:pPr>
        <w:snapToGrid w:val="0"/>
        <w:spacing w:line="380" w:lineRule="exact"/>
        <w:ind w:firstLine="420" w:firstLineChars="200"/>
        <w:jc w:val="left"/>
        <w:rPr>
          <w:rFonts w:ascii="宋体" w:hAnsi="宋体" w:cs="宋体"/>
          <w:szCs w:val="21"/>
        </w:rPr>
      </w:pPr>
      <w:r>
        <w:rPr>
          <w:rFonts w:hint="eastAsia" w:ascii="宋体" w:hAnsi="宋体" w:cs="宋体"/>
          <w:szCs w:val="21"/>
        </w:rPr>
        <w:t>本保单凭证的有效期自 </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日零时起至</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日二十四时止。</w:t>
      </w:r>
    </w:p>
    <w:p w14:paraId="1FFDC591">
      <w:pPr>
        <w:snapToGrid w:val="0"/>
        <w:spacing w:line="380" w:lineRule="exact"/>
        <w:jc w:val="left"/>
        <w:rPr>
          <w:rFonts w:ascii="宋体" w:hAnsi="宋体" w:cs="宋体"/>
          <w:szCs w:val="21"/>
        </w:rPr>
      </w:pPr>
      <w:r>
        <w:rPr>
          <w:rFonts w:hint="eastAsia" w:ascii="宋体" w:hAnsi="宋体" w:cs="宋体"/>
          <w:szCs w:val="21"/>
        </w:rPr>
        <w:t>（即：保险合同签发之日起至合同到期之日止，具体以保险合同载明为准。）</w:t>
      </w:r>
    </w:p>
    <w:p w14:paraId="2EC809AC">
      <w:pPr>
        <w:snapToGrid w:val="0"/>
        <w:spacing w:line="380" w:lineRule="exact"/>
        <w:ind w:firstLine="420" w:firstLineChars="200"/>
        <w:jc w:val="left"/>
        <w:rPr>
          <w:rFonts w:ascii="宋体" w:hAnsi="宋体" w:cs="宋体"/>
          <w:szCs w:val="21"/>
        </w:rPr>
      </w:pPr>
      <w:r>
        <w:rPr>
          <w:rFonts w:hint="eastAsia" w:ascii="宋体" w:hAnsi="宋体" w:cs="宋体"/>
          <w:szCs w:val="21"/>
        </w:rPr>
        <w:t>五、争议解决方式</w:t>
      </w:r>
    </w:p>
    <w:p w14:paraId="6C6608F3">
      <w:pPr>
        <w:snapToGrid w:val="0"/>
        <w:spacing w:line="380" w:lineRule="exact"/>
        <w:ind w:firstLine="420" w:firstLineChars="200"/>
        <w:jc w:val="left"/>
        <w:rPr>
          <w:rFonts w:ascii="宋体" w:hAnsi="宋体" w:cs="宋体"/>
          <w:szCs w:val="21"/>
        </w:rPr>
      </w:pPr>
      <w:r>
        <w:rPr>
          <w:rFonts w:hint="eastAsia" w:ascii="宋体" w:hAnsi="宋体" w:cs="宋体"/>
          <w:szCs w:val="21"/>
        </w:rPr>
        <w:t>本保单凭证（函）发生争议协商解决不成，按以下方式解决：提交</w:t>
      </w:r>
      <w:r>
        <w:rPr>
          <w:rFonts w:hint="eastAsia" w:ascii="宋体" w:hAnsi="宋体" w:cs="宋体"/>
          <w:szCs w:val="21"/>
          <w:u w:val="single"/>
        </w:rPr>
        <w:t xml:space="preserve">              </w:t>
      </w:r>
      <w:r>
        <w:rPr>
          <w:rFonts w:hint="eastAsia" w:ascii="宋体" w:hAnsi="宋体" w:cs="宋体"/>
          <w:szCs w:val="21"/>
        </w:rPr>
        <w:t>诉讼</w:t>
      </w:r>
    </w:p>
    <w:p w14:paraId="0C4BB376">
      <w:pPr>
        <w:snapToGrid w:val="0"/>
        <w:spacing w:line="380" w:lineRule="exact"/>
        <w:ind w:firstLine="420" w:firstLineChars="200"/>
        <w:jc w:val="left"/>
        <w:rPr>
          <w:rFonts w:ascii="宋体" w:hAnsi="宋体" w:cs="宋体"/>
          <w:bCs/>
          <w:szCs w:val="21"/>
        </w:rPr>
      </w:pPr>
      <w:r>
        <w:rPr>
          <w:rFonts w:hint="eastAsia" w:ascii="宋体" w:hAnsi="宋体" w:cs="宋体"/>
          <w:bCs/>
          <w:szCs w:val="21"/>
        </w:rPr>
        <w:t>九、本保险保单凭证/保函未载明事宜以保险合同约定为准。</w:t>
      </w:r>
    </w:p>
    <w:p w14:paraId="406CD431">
      <w:pPr>
        <w:snapToGrid w:val="0"/>
        <w:spacing w:line="380" w:lineRule="exact"/>
        <w:ind w:firstLine="420" w:firstLineChars="200"/>
        <w:jc w:val="left"/>
        <w:rPr>
          <w:rFonts w:ascii="宋体" w:hAnsi="宋体" w:cs="宋体"/>
          <w:bCs/>
          <w:szCs w:val="21"/>
        </w:rPr>
      </w:pPr>
      <w:r>
        <w:rPr>
          <w:rFonts w:hint="eastAsia" w:ascii="宋体" w:hAnsi="宋体" w:cs="宋体"/>
          <w:bCs/>
          <w:szCs w:val="21"/>
        </w:rPr>
        <w:t>十、本保险保单凭证/保函自保险人或授权代理人签字并加盖公章之日起生效。</w:t>
      </w:r>
    </w:p>
    <w:p w14:paraId="335B989D">
      <w:pPr>
        <w:snapToGrid w:val="0"/>
        <w:spacing w:line="380" w:lineRule="exact"/>
        <w:ind w:firstLine="420" w:firstLineChars="200"/>
        <w:jc w:val="left"/>
        <w:rPr>
          <w:rFonts w:ascii="宋体" w:hAnsi="宋体" w:cs="宋体"/>
          <w:szCs w:val="21"/>
        </w:rPr>
      </w:pPr>
    </w:p>
    <w:p w14:paraId="24291917">
      <w:pPr>
        <w:snapToGrid w:val="0"/>
        <w:spacing w:line="380" w:lineRule="exact"/>
        <w:ind w:firstLine="420" w:firstLineChars="200"/>
        <w:jc w:val="left"/>
        <w:rPr>
          <w:rFonts w:ascii="宋体" w:hAnsi="宋体" w:cs="宋体"/>
          <w:szCs w:val="21"/>
        </w:rPr>
      </w:pPr>
    </w:p>
    <w:p w14:paraId="25E0D4C9">
      <w:pPr>
        <w:pStyle w:val="182"/>
        <w:spacing w:after="0" w:line="380" w:lineRule="exact"/>
        <w:rPr>
          <w:rFonts w:hAnsi="宋体" w:cs="宋体"/>
          <w:sz w:val="21"/>
          <w:szCs w:val="21"/>
          <w:u w:val="single"/>
        </w:rPr>
      </w:pPr>
      <w:r>
        <w:rPr>
          <w:rFonts w:hint="eastAsia" w:hAnsi="宋体" w:cs="宋体"/>
          <w:sz w:val="21"/>
          <w:szCs w:val="21"/>
        </w:rPr>
        <w:t xml:space="preserve">保险人名称： </w:t>
      </w:r>
      <w:r>
        <w:rPr>
          <w:rFonts w:hint="eastAsia" w:hAnsi="宋体" w:cs="宋体"/>
          <w:sz w:val="21"/>
          <w:szCs w:val="21"/>
          <w:u w:val="single"/>
        </w:rPr>
        <w:t xml:space="preserve">                                           </w:t>
      </w:r>
    </w:p>
    <w:p w14:paraId="54F2D570">
      <w:pPr>
        <w:pStyle w:val="182"/>
        <w:spacing w:after="0" w:line="380" w:lineRule="exact"/>
        <w:rPr>
          <w:rFonts w:hAnsi="宋体" w:cs="宋体"/>
          <w:sz w:val="21"/>
          <w:szCs w:val="21"/>
          <w:u w:val="single"/>
        </w:rPr>
      </w:pPr>
      <w:r>
        <w:rPr>
          <w:rFonts w:hint="eastAsia" w:hAnsi="宋体" w:cs="宋体"/>
          <w:sz w:val="21"/>
          <w:szCs w:val="21"/>
        </w:rPr>
        <w:t>地    址：</w:t>
      </w:r>
      <w:r>
        <w:rPr>
          <w:rFonts w:hint="eastAsia" w:hAnsi="宋体" w:cs="宋体"/>
          <w:sz w:val="21"/>
          <w:szCs w:val="21"/>
        </w:rPr>
        <w:tab/>
      </w:r>
      <w:r>
        <w:rPr>
          <w:rFonts w:hint="eastAsia" w:hAnsi="宋体" w:cs="宋体"/>
          <w:sz w:val="21"/>
          <w:szCs w:val="21"/>
        </w:rPr>
        <w:t xml:space="preserve"> </w:t>
      </w:r>
      <w:r>
        <w:rPr>
          <w:rFonts w:hint="eastAsia" w:hAnsi="宋体" w:cs="宋体"/>
          <w:sz w:val="21"/>
          <w:szCs w:val="21"/>
          <w:u w:val="single"/>
        </w:rPr>
        <w:t xml:space="preserve">                                           </w:t>
      </w:r>
      <w:r>
        <w:rPr>
          <w:rFonts w:hint="eastAsia" w:hAnsi="宋体" w:cs="宋体"/>
          <w:sz w:val="21"/>
          <w:szCs w:val="21"/>
        </w:rPr>
        <w:t xml:space="preserve"> 邮政编码：</w:t>
      </w:r>
      <w:r>
        <w:rPr>
          <w:rFonts w:hint="eastAsia" w:hAnsi="宋体" w:cs="宋体"/>
          <w:sz w:val="21"/>
          <w:szCs w:val="21"/>
          <w:u w:val="single"/>
        </w:rPr>
        <w:tab/>
      </w:r>
      <w:r>
        <w:rPr>
          <w:rFonts w:hint="eastAsia" w:hAnsi="宋体" w:cs="宋体"/>
          <w:sz w:val="21"/>
          <w:szCs w:val="21"/>
          <w:u w:val="single"/>
        </w:rPr>
        <w:t xml:space="preserve">            </w:t>
      </w:r>
    </w:p>
    <w:p w14:paraId="2625E4A4">
      <w:pPr>
        <w:pStyle w:val="182"/>
        <w:spacing w:after="0" w:line="380" w:lineRule="exact"/>
        <w:rPr>
          <w:rFonts w:hAnsi="宋体" w:cs="宋体"/>
          <w:sz w:val="21"/>
          <w:szCs w:val="21"/>
        </w:rPr>
      </w:pPr>
      <w:r>
        <w:rPr>
          <w:rFonts w:hint="eastAsia" w:hAnsi="宋体" w:cs="宋体"/>
          <w:sz w:val="21"/>
          <w:szCs w:val="21"/>
        </w:rPr>
        <w:t>电    话：</w:t>
      </w:r>
      <w:r>
        <w:rPr>
          <w:rFonts w:hint="eastAsia" w:hAnsi="宋体" w:cs="宋体"/>
          <w:sz w:val="21"/>
          <w:szCs w:val="21"/>
        </w:rPr>
        <w:tab/>
      </w:r>
      <w:r>
        <w:rPr>
          <w:rFonts w:hint="eastAsia" w:hAnsi="宋体" w:cs="宋体"/>
          <w:sz w:val="21"/>
          <w:szCs w:val="21"/>
        </w:rPr>
        <w:t xml:space="preserve"> </w:t>
      </w:r>
      <w:r>
        <w:rPr>
          <w:rFonts w:hint="eastAsia" w:hAnsi="宋体" w:cs="宋体"/>
          <w:sz w:val="21"/>
          <w:szCs w:val="21"/>
          <w:u w:val="single"/>
        </w:rPr>
        <w:t xml:space="preserve">               </w:t>
      </w:r>
      <w:r>
        <w:rPr>
          <w:rFonts w:hint="eastAsia" w:hAnsi="宋体" w:cs="宋体"/>
          <w:sz w:val="21"/>
          <w:szCs w:val="21"/>
        </w:rPr>
        <w:t xml:space="preserve">                 日    期：</w:t>
      </w:r>
      <w:r>
        <w:rPr>
          <w:rFonts w:hint="eastAsia" w:hAnsi="宋体" w:cs="宋体"/>
          <w:sz w:val="21"/>
          <w:szCs w:val="21"/>
        </w:rPr>
        <w:tab/>
      </w:r>
      <w:r>
        <w:rPr>
          <w:rFonts w:hint="eastAsia" w:hAnsi="宋体" w:cs="宋体"/>
          <w:sz w:val="21"/>
          <w:szCs w:val="21"/>
        </w:rPr>
        <w:t xml:space="preserve"> </w:t>
      </w:r>
      <w:r>
        <w:rPr>
          <w:rFonts w:hint="eastAsia" w:hAnsi="宋体" w:cs="宋体"/>
          <w:sz w:val="21"/>
          <w:szCs w:val="21"/>
          <w:u w:val="single"/>
        </w:rPr>
        <w:t xml:space="preserve">       </w:t>
      </w:r>
      <w:r>
        <w:rPr>
          <w:rFonts w:hint="eastAsia" w:hAnsi="宋体" w:cs="宋体"/>
          <w:sz w:val="21"/>
          <w:szCs w:val="21"/>
        </w:rPr>
        <w:t>年</w:t>
      </w:r>
      <w:r>
        <w:rPr>
          <w:rFonts w:hint="eastAsia" w:hAnsi="宋体" w:cs="宋体"/>
          <w:sz w:val="21"/>
          <w:szCs w:val="21"/>
          <w:u w:val="single"/>
        </w:rPr>
        <w:t xml:space="preserve">     </w:t>
      </w:r>
      <w:r>
        <w:rPr>
          <w:rFonts w:hint="eastAsia" w:hAnsi="宋体" w:cs="宋体"/>
          <w:sz w:val="21"/>
          <w:szCs w:val="21"/>
        </w:rPr>
        <w:t>月</w:t>
      </w:r>
      <w:r>
        <w:rPr>
          <w:rFonts w:hint="eastAsia" w:hAnsi="宋体" w:cs="宋体"/>
          <w:sz w:val="21"/>
          <w:szCs w:val="21"/>
          <w:u w:val="single"/>
        </w:rPr>
        <w:t xml:space="preserve">    </w:t>
      </w:r>
      <w:r>
        <w:rPr>
          <w:rFonts w:hint="eastAsia" w:hAnsi="宋体" w:cs="宋体"/>
          <w:sz w:val="21"/>
          <w:szCs w:val="21"/>
        </w:rPr>
        <w:t xml:space="preserve">日 </w:t>
      </w:r>
    </w:p>
    <w:p w14:paraId="4DBEF87C">
      <w:pPr>
        <w:rPr>
          <w:rFonts w:eastAsia="黑体"/>
          <w:bCs/>
        </w:rPr>
      </w:pPr>
    </w:p>
    <w:p w14:paraId="0805E66B">
      <w:pPr>
        <w:rPr>
          <w:rFonts w:eastAsia="黑体"/>
          <w:bCs/>
        </w:rPr>
      </w:pPr>
    </w:p>
    <w:p w14:paraId="22B04E92">
      <w:pPr>
        <w:rPr>
          <w:rFonts w:eastAsia="黑体"/>
          <w:bCs/>
        </w:rPr>
      </w:pPr>
    </w:p>
    <w:p w14:paraId="6C32156D">
      <w:pPr>
        <w:sectPr>
          <w:headerReference r:id="rId7" w:type="default"/>
          <w:footerReference r:id="rId8" w:type="default"/>
          <w:pgSz w:w="11907" w:h="16840"/>
          <w:pgMar w:top="1440" w:right="1440" w:bottom="1440" w:left="1440" w:header="851" w:footer="850" w:gutter="0"/>
          <w:cols w:space="720" w:num="1"/>
          <w:docGrid w:linePitch="326" w:charSpace="0"/>
        </w:sectPr>
      </w:pPr>
    </w:p>
    <w:p w14:paraId="7B5906BC">
      <w:pPr>
        <w:pStyle w:val="3"/>
        <w:spacing w:before="0" w:after="0"/>
        <w:jc w:val="center"/>
        <w:rPr>
          <w:rFonts w:ascii="Times New Roman" w:hAnsi="Times New Roman"/>
          <w:b w:val="0"/>
          <w:spacing w:val="-20"/>
          <w:w w:val="80"/>
          <w:sz w:val="21"/>
          <w:szCs w:val="21"/>
        </w:rPr>
      </w:pPr>
      <w:bookmarkStart w:id="530" w:name="_Toc80006223"/>
      <w:bookmarkStart w:id="531" w:name="_Toc80006113"/>
      <w:r>
        <w:rPr>
          <w:rFonts w:ascii="Times New Roman" w:hAnsi="Times New Roman" w:eastAsia="黑体"/>
          <w:b w:val="0"/>
          <w:bCs w:val="0"/>
        </w:rPr>
        <w:t>第五章  工程量清单</w:t>
      </w:r>
      <w:bookmarkEnd w:id="530"/>
      <w:bookmarkEnd w:id="531"/>
    </w:p>
    <w:p w14:paraId="2C5DDCC2">
      <w:pPr>
        <w:rPr>
          <w:rFonts w:eastAsia="黑体"/>
          <w:szCs w:val="21"/>
        </w:rPr>
      </w:pPr>
    </w:p>
    <w:p w14:paraId="0CB4AAFB">
      <w:pPr>
        <w:pStyle w:val="4"/>
        <w:spacing w:before="0" w:after="0" w:line="360" w:lineRule="auto"/>
        <w:rPr>
          <w:rFonts w:ascii="Times New Roman" w:hAnsi="Times New Roman" w:eastAsia="黑体"/>
          <w:b w:val="0"/>
          <w:bCs w:val="0"/>
          <w:sz w:val="30"/>
        </w:rPr>
      </w:pPr>
      <w:bookmarkStart w:id="532" w:name="_Toc80006114"/>
      <w:bookmarkStart w:id="533" w:name="_Toc80006224"/>
      <w:bookmarkStart w:id="534" w:name="_Toc9178540"/>
      <w:r>
        <w:rPr>
          <w:rFonts w:hint="eastAsia" w:ascii="Times New Roman" w:hAnsi="Times New Roman" w:eastAsia="黑体"/>
          <w:b w:val="0"/>
          <w:bCs w:val="0"/>
          <w:sz w:val="30"/>
        </w:rPr>
        <w:t>1.工程量清单说明</w:t>
      </w:r>
      <w:bookmarkEnd w:id="532"/>
      <w:bookmarkEnd w:id="533"/>
    </w:p>
    <w:p w14:paraId="65AADAAF">
      <w:pPr>
        <w:pStyle w:val="36"/>
        <w:shd w:val="clear" w:color="auto" w:fill="FFFFFF"/>
        <w:spacing w:before="0" w:beforeAutospacing="0" w:after="0" w:afterAutospacing="0" w:line="480" w:lineRule="atLeast"/>
        <w:textAlignment w:val="baseline"/>
        <w:rPr>
          <w:kern w:val="2"/>
        </w:rPr>
      </w:pPr>
      <w:r>
        <w:rPr>
          <w:rFonts w:hint="eastAsia" w:ascii="微软雅黑" w:hAnsi="微软雅黑" w:eastAsia="微软雅黑"/>
        </w:rPr>
        <w:t xml:space="preserve">      </w:t>
      </w:r>
      <w:r>
        <w:rPr>
          <w:rFonts w:hint="eastAsia"/>
          <w:kern w:val="2"/>
        </w:rPr>
        <w:t>1.1本工程量清单是依据《建设工程工程量清单计价规范》(GB50500-2013,简称“国家计价规范”)、《关于印发2020&lt;湖南省建设工程计价办法&gt;及&lt;湖南省建设工程消耗量标准&gt;的通知》(湘建价〔2020〕56号,以下简称《计价办法》)以及招标文件中包括的图纸等编制。《计价办法》中规定的工程量计算规则中没有的项目,在本章第1.4款及本文件《第四章合同条款及格式》中约定;《计价办法》中规定的工程量计算规则中没有且本章第1.4款及本文件《第四章合同条款及格式》中也未约定的,双方协商确定;协商不成的,可向省级建设工程造价管理机构申请裁定。</w:t>
      </w:r>
    </w:p>
    <w:p w14:paraId="6E351654">
      <w:pPr>
        <w:pStyle w:val="36"/>
        <w:shd w:val="clear" w:color="auto" w:fill="FFFFFF"/>
        <w:spacing w:before="0" w:beforeAutospacing="0" w:after="0" w:afterAutospacing="0" w:line="480" w:lineRule="atLeast"/>
        <w:textAlignment w:val="baseline"/>
        <w:rPr>
          <w:kern w:val="2"/>
        </w:rPr>
      </w:pPr>
      <w:r>
        <w:rPr>
          <w:rFonts w:hint="eastAsia"/>
          <w:kern w:val="2"/>
        </w:rPr>
        <w:t>      1.2本工程量清单应与招标文件中的投标人须知、通用合同条款、专用合同条款、技术标准和要求及图纸等章节内容一起阅读和理解。</w:t>
      </w:r>
    </w:p>
    <w:p w14:paraId="33D49630">
      <w:pPr>
        <w:pStyle w:val="36"/>
        <w:shd w:val="clear" w:color="auto" w:fill="FFFFFF"/>
        <w:spacing w:before="0" w:beforeAutospacing="0" w:after="0" w:afterAutospacing="0" w:line="480" w:lineRule="atLeast"/>
        <w:textAlignment w:val="baseline"/>
        <w:rPr>
          <w:kern w:val="2"/>
        </w:rPr>
      </w:pPr>
      <w:r>
        <w:rPr>
          <w:rFonts w:hint="eastAsia"/>
          <w:kern w:val="2"/>
        </w:rPr>
        <w:t>      1.3本工程量清单是工程量清单计价的基础,应为编制最高投标限价、投标报价、计算或调整工程量、索赔等的依据之一。合同履行期间,本工程量清单缺陷经发承包双方确认后,应按照承包人实际完成合同工程的应予计量的工程量和实际发生的措施项目调整,合同价格的确定以及价款支付应遵循合同条款(包括通用合同条款和专用合同条款)、技术标准和要求以及本章的有关约定。</w:t>
      </w:r>
    </w:p>
    <w:p w14:paraId="4565AF8C">
      <w:pPr>
        <w:pStyle w:val="36"/>
        <w:shd w:val="clear" w:color="auto" w:fill="FFFFFF"/>
        <w:spacing w:before="0" w:beforeAutospacing="0" w:after="0" w:afterAutospacing="0" w:line="480" w:lineRule="atLeast"/>
        <w:textAlignment w:val="baseline"/>
        <w:rPr>
          <w:kern w:val="2"/>
        </w:rPr>
      </w:pPr>
      <w:r>
        <w:rPr>
          <w:rFonts w:hint="eastAsia"/>
          <w:kern w:val="2"/>
        </w:rPr>
        <w:t>      1.4补充项目的项目特征、计量单位、工程量计算规则及工作内容说明如下:</w:t>
      </w:r>
      <w:r>
        <w:rPr>
          <w:kern w:val="2"/>
          <w:u w:val="single"/>
        </w:rPr>
        <w:t xml:space="preserve">                 </w:t>
      </w:r>
      <w:r>
        <w:rPr>
          <w:rFonts w:hint="eastAsia"/>
          <w:kern w:val="2"/>
        </w:rPr>
        <w:t>。</w:t>
      </w:r>
    </w:p>
    <w:p w14:paraId="5ED1E277">
      <w:pPr>
        <w:pStyle w:val="36"/>
        <w:shd w:val="clear" w:color="auto" w:fill="FFFFFF"/>
        <w:spacing w:before="0" w:beforeAutospacing="0" w:after="0" w:afterAutospacing="0" w:line="480" w:lineRule="atLeast"/>
        <w:textAlignment w:val="baseline"/>
        <w:rPr>
          <w:kern w:val="2"/>
        </w:rPr>
      </w:pPr>
      <w:r>
        <w:rPr>
          <w:rFonts w:hint="eastAsia"/>
          <w:kern w:val="2"/>
        </w:rPr>
        <w:t>      1.5本条第1.1款中约定的计量和计价规则适用于合同履约过程中工程量计量与价款支付、工程变更、索赔和工程结算。</w:t>
      </w:r>
    </w:p>
    <w:p w14:paraId="06983736">
      <w:pPr>
        <w:pStyle w:val="36"/>
        <w:shd w:val="clear" w:color="auto" w:fill="FFFFFF"/>
        <w:spacing w:before="0" w:beforeAutospacing="0" w:after="0" w:afterAutospacing="0" w:line="480" w:lineRule="atLeast"/>
        <w:textAlignment w:val="baseline"/>
        <w:rPr>
          <w:kern w:val="2"/>
        </w:rPr>
      </w:pPr>
      <w:r>
        <w:rPr>
          <w:rFonts w:hint="eastAsia"/>
          <w:kern w:val="2"/>
        </w:rPr>
        <w:t>     1.6本条与下述第2条和第3条的说明内容是构成合同文件的已标价工程量清单的组成部分。</w:t>
      </w:r>
    </w:p>
    <w:p w14:paraId="3CBAD5C3">
      <w:pPr>
        <w:pStyle w:val="4"/>
        <w:spacing w:before="0" w:after="0" w:line="360" w:lineRule="auto"/>
        <w:rPr>
          <w:rFonts w:ascii="Times New Roman" w:hAnsi="Times New Roman" w:eastAsia="黑体"/>
          <w:b w:val="0"/>
          <w:bCs w:val="0"/>
          <w:sz w:val="30"/>
        </w:rPr>
      </w:pPr>
      <w:bookmarkStart w:id="535" w:name="_Toc80006115"/>
      <w:bookmarkStart w:id="536" w:name="_Toc80006225"/>
      <w:r>
        <w:rPr>
          <w:rFonts w:ascii="Times New Roman" w:hAnsi="Times New Roman" w:eastAsia="黑体"/>
          <w:b w:val="0"/>
          <w:bCs w:val="0"/>
          <w:sz w:val="30"/>
        </w:rPr>
        <w:t>2.最高投标限价编制说明及公布内容</w:t>
      </w:r>
      <w:bookmarkEnd w:id="535"/>
      <w:bookmarkEnd w:id="536"/>
    </w:p>
    <w:p w14:paraId="7019E61B">
      <w:pPr>
        <w:pStyle w:val="36"/>
        <w:shd w:val="clear" w:color="auto" w:fill="FFFFFF"/>
        <w:spacing w:before="0" w:beforeAutospacing="0" w:after="0" w:afterAutospacing="0" w:line="480" w:lineRule="atLeast"/>
        <w:textAlignment w:val="baseline"/>
        <w:rPr>
          <w:kern w:val="2"/>
        </w:rPr>
      </w:pPr>
      <w:r>
        <w:rPr>
          <w:rFonts w:hint="eastAsia" w:ascii="微软雅黑" w:hAnsi="微软雅黑" w:eastAsia="微软雅黑"/>
        </w:rPr>
        <w:t xml:space="preserve">    </w:t>
      </w:r>
      <w:r>
        <w:rPr>
          <w:rFonts w:hint="eastAsia"/>
          <w:kern w:val="2"/>
        </w:rPr>
        <w:t>  2.1最高投标限价编制依据</w:t>
      </w:r>
    </w:p>
    <w:p w14:paraId="06417467">
      <w:pPr>
        <w:pStyle w:val="36"/>
        <w:shd w:val="clear" w:color="auto" w:fill="FFFFFF"/>
        <w:spacing w:before="0" w:beforeAutospacing="0" w:after="0" w:afterAutospacing="0" w:line="480" w:lineRule="atLeast"/>
        <w:textAlignment w:val="baseline"/>
        <w:rPr>
          <w:kern w:val="2"/>
        </w:rPr>
      </w:pPr>
      <w:r>
        <w:rPr>
          <w:rFonts w:hint="eastAsia"/>
          <w:kern w:val="2"/>
        </w:rPr>
        <w:t>      2.1.1本招标文件及补充通知、答疑纪要、招标工程量清单;</w:t>
      </w:r>
    </w:p>
    <w:p w14:paraId="4D2D9785">
      <w:pPr>
        <w:pStyle w:val="36"/>
        <w:shd w:val="clear" w:color="auto" w:fill="FFFFFF"/>
        <w:spacing w:before="0" w:beforeAutospacing="0" w:after="0" w:afterAutospacing="0" w:line="480" w:lineRule="atLeast"/>
        <w:textAlignment w:val="baseline"/>
        <w:rPr>
          <w:kern w:val="2"/>
        </w:rPr>
      </w:pPr>
      <w:r>
        <w:rPr>
          <w:rFonts w:hint="eastAsia"/>
          <w:kern w:val="2"/>
        </w:rPr>
        <w:t>      2.1.2《建设工程工程量清单计价规范》;</w:t>
      </w:r>
    </w:p>
    <w:p w14:paraId="14890010">
      <w:pPr>
        <w:pStyle w:val="36"/>
        <w:shd w:val="clear" w:color="auto" w:fill="FFFFFF"/>
        <w:spacing w:before="0" w:beforeAutospacing="0" w:after="0" w:afterAutospacing="0" w:line="480" w:lineRule="atLeast"/>
        <w:textAlignment w:val="baseline"/>
        <w:rPr>
          <w:kern w:val="2"/>
        </w:rPr>
      </w:pPr>
      <w:r>
        <w:rPr>
          <w:rFonts w:hint="eastAsia"/>
          <w:kern w:val="2"/>
        </w:rPr>
        <w:t>      2.1.3《关于印发2020&lt;湖南省建设工程计价办法&gt;及&lt;湖南省建设工程消耗量标准&gt;的通知》(湘建价〔2020〕56号);</w:t>
      </w:r>
    </w:p>
    <w:p w14:paraId="57FA69BE">
      <w:pPr>
        <w:pStyle w:val="36"/>
        <w:shd w:val="clear" w:color="auto" w:fill="FFFFFF"/>
        <w:spacing w:before="0" w:beforeAutospacing="0" w:after="0" w:afterAutospacing="0" w:line="480" w:lineRule="atLeast"/>
        <w:textAlignment w:val="baseline"/>
        <w:rPr>
          <w:kern w:val="2"/>
        </w:rPr>
      </w:pPr>
      <w:r>
        <w:rPr>
          <w:rFonts w:hint="eastAsia"/>
          <w:kern w:val="2"/>
        </w:rPr>
        <w:t>     2.1.4湖南省建设行政主管部门颁发的建设工程消耗量标准,取费标准、计费程序、人工费及机械费系数;</w:t>
      </w:r>
    </w:p>
    <w:p w14:paraId="793317E2">
      <w:pPr>
        <w:pStyle w:val="36"/>
        <w:shd w:val="clear" w:color="auto" w:fill="FFFFFF"/>
        <w:spacing w:before="0" w:beforeAutospacing="0" w:after="0" w:afterAutospacing="0" w:line="480" w:lineRule="atLeast"/>
        <w:textAlignment w:val="baseline"/>
        <w:rPr>
          <w:kern w:val="2"/>
        </w:rPr>
      </w:pPr>
      <w:r>
        <w:rPr>
          <w:rFonts w:hint="eastAsia"/>
          <w:kern w:val="2"/>
        </w:rPr>
        <w:t>     2.1.5建设工程设计文件及相关资料;</w:t>
      </w:r>
    </w:p>
    <w:p w14:paraId="0D25C395">
      <w:pPr>
        <w:pStyle w:val="36"/>
        <w:shd w:val="clear" w:color="auto" w:fill="FFFFFF"/>
        <w:spacing w:before="0" w:beforeAutospacing="0" w:after="0" w:afterAutospacing="0" w:line="480" w:lineRule="atLeast"/>
        <w:textAlignment w:val="baseline"/>
        <w:rPr>
          <w:kern w:val="2"/>
        </w:rPr>
      </w:pPr>
      <w:r>
        <w:rPr>
          <w:rFonts w:hint="eastAsia"/>
          <w:kern w:val="2"/>
        </w:rPr>
        <w:t>     2.1.6与建设项目相关的标准、规范、技术资料;</w:t>
      </w:r>
    </w:p>
    <w:p w14:paraId="0E086058">
      <w:pPr>
        <w:pStyle w:val="36"/>
        <w:shd w:val="clear" w:color="auto" w:fill="FFFFFF"/>
        <w:spacing w:before="0" w:beforeAutospacing="0" w:after="0" w:afterAutospacing="0" w:line="480" w:lineRule="atLeast"/>
        <w:textAlignment w:val="baseline"/>
        <w:rPr>
          <w:kern w:val="2"/>
        </w:rPr>
      </w:pPr>
      <w:r>
        <w:rPr>
          <w:rFonts w:hint="eastAsia"/>
          <w:kern w:val="2"/>
        </w:rPr>
        <w:t>     2.1.7工程造价管理机构发布的工程造价信息,工程造价信息没有发布的参照市场价;</w:t>
      </w:r>
    </w:p>
    <w:p w14:paraId="63A9CA59">
      <w:pPr>
        <w:pStyle w:val="36"/>
        <w:shd w:val="clear" w:color="auto" w:fill="FFFFFF"/>
        <w:spacing w:before="0" w:beforeAutospacing="0" w:after="0" w:afterAutospacing="0" w:line="480" w:lineRule="atLeast"/>
        <w:textAlignment w:val="baseline"/>
        <w:rPr>
          <w:kern w:val="2"/>
        </w:rPr>
      </w:pPr>
      <w:r>
        <w:rPr>
          <w:rFonts w:hint="eastAsia"/>
          <w:kern w:val="2"/>
        </w:rPr>
        <w:t>     2.1.8施工现场情况、工程特点及常规施工方案;</w:t>
      </w:r>
    </w:p>
    <w:p w14:paraId="01B584A3">
      <w:pPr>
        <w:pStyle w:val="36"/>
        <w:shd w:val="clear" w:color="auto" w:fill="FFFFFF"/>
        <w:spacing w:before="0" w:beforeAutospacing="0" w:after="0" w:afterAutospacing="0" w:line="480" w:lineRule="atLeast"/>
        <w:textAlignment w:val="baseline"/>
        <w:rPr>
          <w:kern w:val="2"/>
        </w:rPr>
      </w:pPr>
      <w:r>
        <w:rPr>
          <w:rFonts w:hint="eastAsia"/>
          <w:kern w:val="2"/>
        </w:rPr>
        <w:t>     2.1.9其他的相关资料(招标人可根据有关规定进行细化);</w:t>
      </w:r>
    </w:p>
    <w:p w14:paraId="70F5DE1C">
      <w:pPr>
        <w:pStyle w:val="36"/>
        <w:shd w:val="clear" w:color="auto" w:fill="FFFFFF"/>
        <w:spacing w:before="0" w:beforeAutospacing="0" w:after="0" w:afterAutospacing="0" w:line="480" w:lineRule="atLeast"/>
        <w:ind w:firstLine="420" w:firstLineChars="200"/>
        <w:textAlignment w:val="baseline"/>
        <w:rPr>
          <w:color w:val="FF0000"/>
          <w:kern w:val="2"/>
        </w:rPr>
      </w:pPr>
      <w:r>
        <w:rPr>
          <w:rFonts w:hint="eastAsia"/>
          <w:color w:val="FF0000"/>
          <w:kern w:val="2"/>
        </w:rPr>
        <w:t>2.1.10 湖南省建设厅发布的《湖南省建设工程工程量清单计价办法》(湘建价(2020)56 号)、2020 年《湖南省建设工程消耗量标准》等。</w:t>
      </w:r>
    </w:p>
    <w:p w14:paraId="1A0F8814">
      <w:pPr>
        <w:pStyle w:val="36"/>
        <w:shd w:val="clear" w:color="auto" w:fill="FFFFFF"/>
        <w:spacing w:before="0" w:beforeAutospacing="0" w:after="0" w:afterAutospacing="0" w:line="480" w:lineRule="atLeast"/>
        <w:ind w:firstLine="420" w:firstLineChars="200"/>
        <w:textAlignment w:val="baseline"/>
        <w:rPr>
          <w:color w:val="FF0000"/>
          <w:kern w:val="2"/>
        </w:rPr>
      </w:pPr>
      <w:r>
        <w:rPr>
          <w:rFonts w:hint="eastAsia"/>
          <w:color w:val="FF0000"/>
          <w:kern w:val="2"/>
        </w:rPr>
        <w:t>2.1.11 送审的预算书、设计图纸、电子文档等</w:t>
      </w:r>
    </w:p>
    <w:p w14:paraId="07AA411E">
      <w:pPr>
        <w:pStyle w:val="36"/>
        <w:shd w:val="clear" w:color="auto" w:fill="FFFFFF"/>
        <w:spacing w:before="0" w:beforeAutospacing="0" w:after="0" w:afterAutospacing="0" w:line="480" w:lineRule="atLeast"/>
        <w:ind w:firstLine="420" w:firstLineChars="200"/>
        <w:textAlignment w:val="baseline"/>
        <w:rPr>
          <w:color w:val="FF0000"/>
          <w:kern w:val="2"/>
        </w:rPr>
      </w:pPr>
      <w:r>
        <w:rPr>
          <w:rFonts w:hint="eastAsia"/>
          <w:color w:val="FF0000"/>
          <w:kern w:val="2"/>
        </w:rPr>
        <w:t>2.1.12 .湘建价[2022]146 号文、永评(2023)9 号文、永财办(2020)1 号文、湘建价建[2024]20 号。</w:t>
      </w:r>
    </w:p>
    <w:p w14:paraId="1E9E86AB">
      <w:pPr>
        <w:pStyle w:val="36"/>
        <w:shd w:val="clear" w:color="auto" w:fill="FFFFFF"/>
        <w:spacing w:before="0" w:beforeAutospacing="0" w:after="0" w:afterAutospacing="0" w:line="480" w:lineRule="atLeast"/>
        <w:ind w:firstLine="420" w:firstLineChars="200"/>
        <w:textAlignment w:val="baseline"/>
        <w:rPr>
          <w:kern w:val="2"/>
        </w:rPr>
      </w:pPr>
      <w:r>
        <w:rPr>
          <w:rFonts w:hint="eastAsia"/>
          <w:color w:val="FF0000"/>
          <w:kern w:val="2"/>
        </w:rPr>
        <w:t>2.1.13 永州建设造价2024 年7月份材料发布价及市场价格。 </w:t>
      </w:r>
      <w:r>
        <w:rPr>
          <w:rFonts w:hint="eastAsia"/>
          <w:kern w:val="2"/>
        </w:rPr>
        <w:t xml:space="preserve">    </w:t>
      </w:r>
    </w:p>
    <w:p w14:paraId="1A6F37C3">
      <w:pPr>
        <w:pStyle w:val="36"/>
        <w:shd w:val="clear" w:color="auto" w:fill="FFFFFF"/>
        <w:spacing w:before="0" w:beforeAutospacing="0" w:after="0" w:afterAutospacing="0" w:line="480" w:lineRule="atLeast"/>
        <w:ind w:firstLine="420" w:firstLineChars="200"/>
        <w:textAlignment w:val="baseline"/>
        <w:rPr>
          <w:kern w:val="2"/>
        </w:rPr>
      </w:pPr>
      <w:r>
        <w:rPr>
          <w:rFonts w:hint="eastAsia"/>
          <w:kern w:val="2"/>
        </w:rPr>
        <w:t>2.2本最高投标限价由具有编制能力的招标人或受其委托并具有相应资质的工程造价咨询机构(招标人根据情况选择)编制和复核。</w:t>
      </w:r>
    </w:p>
    <w:p w14:paraId="3FA55637">
      <w:pPr>
        <w:pStyle w:val="36"/>
        <w:shd w:val="clear" w:color="auto" w:fill="FFFFFF"/>
        <w:spacing w:before="0" w:beforeAutospacing="0" w:after="0" w:afterAutospacing="0" w:line="480" w:lineRule="atLeast"/>
        <w:textAlignment w:val="baseline"/>
        <w:rPr>
          <w:kern w:val="2"/>
        </w:rPr>
      </w:pPr>
      <w:r>
        <w:rPr>
          <w:rFonts w:hint="eastAsia"/>
          <w:kern w:val="2"/>
        </w:rPr>
        <w:t>     2.3最高投标限价公布内容</w:t>
      </w:r>
    </w:p>
    <w:p w14:paraId="1C47D7C6">
      <w:pPr>
        <w:pStyle w:val="36"/>
        <w:shd w:val="clear" w:color="auto" w:fill="FFFFFF"/>
        <w:spacing w:before="0" w:beforeAutospacing="0" w:after="0" w:afterAutospacing="0" w:line="480" w:lineRule="atLeast"/>
        <w:textAlignment w:val="baseline"/>
        <w:rPr>
          <w:kern w:val="2"/>
        </w:rPr>
      </w:pPr>
      <w:r>
        <w:rPr>
          <w:rFonts w:hint="eastAsia"/>
          <w:kern w:val="2"/>
        </w:rPr>
        <w:t>     2.3.1本项目设最高投标限价,最高投标限价见投标人须知前附表。</w:t>
      </w:r>
    </w:p>
    <w:p w14:paraId="30B737FB">
      <w:pPr>
        <w:pStyle w:val="36"/>
        <w:shd w:val="clear" w:color="auto" w:fill="FFFFFF"/>
        <w:spacing w:before="0" w:beforeAutospacing="0" w:after="0" w:afterAutospacing="0" w:line="480" w:lineRule="atLeast"/>
        <w:textAlignment w:val="baseline"/>
        <w:rPr>
          <w:kern w:val="2"/>
        </w:rPr>
      </w:pPr>
      <w:r>
        <w:rPr>
          <w:rFonts w:hint="eastAsia"/>
          <w:kern w:val="2"/>
        </w:rPr>
        <w:t>     2.3.2投标人对最高投标限价有疑问的,可在投标人须知前附表规定的时间和方式向招标人或招标代理机构提出;招标人对最高投标限价若有调整,则在投标截止时间15日前在</w:t>
      </w:r>
      <w:r>
        <w:rPr>
          <w:rFonts w:hint="eastAsia"/>
          <w:color w:val="FF0000"/>
          <w:kern w:val="2"/>
          <w:u w:val="single"/>
        </w:rPr>
        <w:t>永州市公共资源交易中心网</w:t>
      </w:r>
      <w:r>
        <w:rPr>
          <w:rFonts w:hint="eastAsia"/>
          <w:kern w:val="2"/>
        </w:rPr>
        <w:t>上公示。投标人应自行查阅,招标代理机构不另行通知。</w:t>
      </w:r>
    </w:p>
    <w:p w14:paraId="766571A0">
      <w:pPr>
        <w:pStyle w:val="36"/>
        <w:shd w:val="clear" w:color="auto" w:fill="FFFFFF"/>
        <w:spacing w:before="0" w:beforeAutospacing="0" w:after="0" w:afterAutospacing="0" w:line="480" w:lineRule="atLeast"/>
        <w:textAlignment w:val="baseline"/>
        <w:rPr>
          <w:kern w:val="2"/>
        </w:rPr>
      </w:pPr>
      <w:r>
        <w:rPr>
          <w:rFonts w:hint="eastAsia"/>
          <w:kern w:val="2"/>
        </w:rPr>
        <w:t>     2.3.3公布的最高投标限价至少载明下列内容:</w:t>
      </w:r>
    </w:p>
    <w:p w14:paraId="5E1F01CD">
      <w:pPr>
        <w:pStyle w:val="36"/>
        <w:shd w:val="clear" w:color="auto" w:fill="FFFFFF"/>
        <w:spacing w:before="0" w:beforeAutospacing="0" w:after="0" w:afterAutospacing="0" w:line="480" w:lineRule="atLeast"/>
        <w:textAlignment w:val="baseline"/>
        <w:rPr>
          <w:kern w:val="2"/>
        </w:rPr>
      </w:pPr>
      <w:r>
        <w:rPr>
          <w:rFonts w:hint="eastAsia"/>
          <w:kern w:val="2"/>
        </w:rPr>
        <w:t>     (1)最高投标限价的总价;</w:t>
      </w:r>
    </w:p>
    <w:p w14:paraId="2330F6A1">
      <w:pPr>
        <w:pStyle w:val="36"/>
        <w:shd w:val="clear" w:color="auto" w:fill="FFFFFF"/>
        <w:spacing w:before="0" w:beforeAutospacing="0" w:after="0" w:afterAutospacing="0" w:line="480" w:lineRule="atLeast"/>
        <w:textAlignment w:val="baseline"/>
        <w:rPr>
          <w:kern w:val="2"/>
        </w:rPr>
      </w:pPr>
      <w:r>
        <w:rPr>
          <w:rFonts w:hint="eastAsia"/>
          <w:kern w:val="2"/>
        </w:rPr>
        <w:t>     (2)各单位工程的分部分项工程费;</w:t>
      </w:r>
    </w:p>
    <w:p w14:paraId="7EF50183">
      <w:pPr>
        <w:pStyle w:val="36"/>
        <w:shd w:val="clear" w:color="auto" w:fill="FFFFFF"/>
        <w:spacing w:before="0" w:beforeAutospacing="0" w:after="0" w:afterAutospacing="0" w:line="480" w:lineRule="atLeast"/>
        <w:textAlignment w:val="baseline"/>
        <w:rPr>
          <w:kern w:val="2"/>
        </w:rPr>
      </w:pPr>
      <w:r>
        <w:rPr>
          <w:rFonts w:hint="eastAsia"/>
          <w:kern w:val="2"/>
        </w:rPr>
        <w:t>     (3)措施项目费（含绿色施工安全防护措施费及费率）;</w:t>
      </w:r>
    </w:p>
    <w:p w14:paraId="10E93317">
      <w:pPr>
        <w:pStyle w:val="36"/>
        <w:shd w:val="clear" w:color="auto" w:fill="FFFFFF"/>
        <w:spacing w:before="0" w:beforeAutospacing="0" w:after="0" w:afterAutospacing="0" w:line="480" w:lineRule="atLeast"/>
        <w:textAlignment w:val="baseline"/>
        <w:rPr>
          <w:kern w:val="2"/>
        </w:rPr>
      </w:pPr>
      <w:r>
        <w:rPr>
          <w:rFonts w:hint="eastAsia"/>
          <w:kern w:val="2"/>
        </w:rPr>
        <w:t>     (4)其他项目费（含安全责任险、环境保护税及费率）;</w:t>
      </w:r>
    </w:p>
    <w:p w14:paraId="65F8D9D9">
      <w:pPr>
        <w:pStyle w:val="36"/>
        <w:shd w:val="clear" w:color="auto" w:fill="FFFFFF"/>
        <w:spacing w:before="0" w:beforeAutospacing="0" w:after="0" w:afterAutospacing="0" w:line="480" w:lineRule="atLeast"/>
        <w:textAlignment w:val="baseline"/>
        <w:rPr>
          <w:kern w:val="2"/>
        </w:rPr>
      </w:pPr>
      <w:r>
        <w:rPr>
          <w:rFonts w:hint="eastAsia"/>
          <w:kern w:val="2"/>
        </w:rPr>
        <w:t>     (5)销项税额（应纳税额）;</w:t>
      </w:r>
    </w:p>
    <w:p w14:paraId="3C2B1507">
      <w:pPr>
        <w:pStyle w:val="36"/>
        <w:shd w:val="clear" w:color="auto" w:fill="FFFFFF"/>
        <w:spacing w:before="0" w:beforeAutospacing="0" w:after="0" w:afterAutospacing="0" w:line="480" w:lineRule="atLeast"/>
        <w:textAlignment w:val="baseline"/>
        <w:rPr>
          <w:kern w:val="2"/>
        </w:rPr>
      </w:pPr>
      <w:r>
        <w:rPr>
          <w:rFonts w:hint="eastAsia"/>
          <w:kern w:val="2"/>
        </w:rPr>
        <w:t>     (6)重点评审的工程量清单综合单价(含能计量的措施项目)和材料、设备单价;</w:t>
      </w:r>
    </w:p>
    <w:p w14:paraId="103A6DBE">
      <w:pPr>
        <w:pStyle w:val="36"/>
        <w:shd w:val="clear" w:color="auto" w:fill="FFFFFF"/>
        <w:spacing w:before="0" w:beforeAutospacing="0" w:after="0" w:afterAutospacing="0" w:line="480" w:lineRule="atLeast"/>
        <w:textAlignment w:val="baseline"/>
        <w:rPr>
          <w:kern w:val="2"/>
        </w:rPr>
      </w:pPr>
      <w:r>
        <w:rPr>
          <w:rFonts w:hint="eastAsia"/>
          <w:kern w:val="2"/>
        </w:rPr>
        <w:t>     (7)其它重要信息和数据(由招标人根据需要进行补充)。</w:t>
      </w:r>
    </w:p>
    <w:p w14:paraId="7B67FBD7">
      <w:pPr>
        <w:pStyle w:val="36"/>
        <w:shd w:val="clear" w:color="auto" w:fill="FFFFFF"/>
        <w:spacing w:before="0" w:beforeAutospacing="0" w:after="0" w:afterAutospacing="0" w:line="480" w:lineRule="atLeast"/>
        <w:textAlignment w:val="baseline"/>
        <w:rPr>
          <w:kern w:val="2"/>
        </w:rPr>
      </w:pPr>
      <w:r>
        <w:rPr>
          <w:rFonts w:hint="eastAsia"/>
          <w:kern w:val="2"/>
        </w:rPr>
        <w:t>     2.4最高投标限价应按本章第2.1款的规定编制,不应上浮或下调。</w:t>
      </w:r>
    </w:p>
    <w:p w14:paraId="2B4CAA6D">
      <w:pPr>
        <w:pStyle w:val="4"/>
        <w:spacing w:before="0" w:after="0" w:line="360" w:lineRule="auto"/>
        <w:rPr>
          <w:rFonts w:ascii="Times New Roman" w:hAnsi="Times New Roman" w:eastAsia="黑体"/>
          <w:b w:val="0"/>
          <w:bCs w:val="0"/>
          <w:sz w:val="30"/>
        </w:rPr>
      </w:pPr>
      <w:bookmarkStart w:id="537" w:name="_Toc80006226"/>
      <w:bookmarkStart w:id="538" w:name="_Toc80006116"/>
      <w:r>
        <w:rPr>
          <w:rFonts w:hint="eastAsia" w:ascii="Times New Roman" w:hAnsi="Times New Roman" w:eastAsia="黑体"/>
          <w:b w:val="0"/>
          <w:bCs w:val="0"/>
          <w:sz w:val="30"/>
        </w:rPr>
        <w:t>3.投标报价说明</w:t>
      </w:r>
      <w:bookmarkEnd w:id="537"/>
      <w:bookmarkEnd w:id="538"/>
    </w:p>
    <w:p w14:paraId="7018B9E6">
      <w:pPr>
        <w:pStyle w:val="36"/>
        <w:shd w:val="clear" w:color="auto" w:fill="FFFFFF"/>
        <w:spacing w:before="0" w:beforeAutospacing="0" w:after="0" w:afterAutospacing="0" w:line="480" w:lineRule="atLeast"/>
        <w:textAlignment w:val="baseline"/>
        <w:rPr>
          <w:kern w:val="2"/>
        </w:rPr>
      </w:pPr>
      <w:r>
        <w:rPr>
          <w:rFonts w:hint="eastAsia" w:ascii="微软雅黑" w:hAnsi="微软雅黑" w:eastAsia="微软雅黑"/>
        </w:rPr>
        <w:t xml:space="preserve">    </w:t>
      </w:r>
      <w:r>
        <w:rPr>
          <w:rFonts w:hint="eastAsia"/>
          <w:kern w:val="2"/>
        </w:rPr>
        <w:t> 3.1投标报价应根据招标文件中的有关计价要求,并按照下列依据自主报价。</w:t>
      </w:r>
    </w:p>
    <w:p w14:paraId="7AC404FE">
      <w:pPr>
        <w:pStyle w:val="36"/>
        <w:shd w:val="clear" w:color="auto" w:fill="FFFFFF"/>
        <w:spacing w:before="0" w:beforeAutospacing="0" w:after="0" w:afterAutospacing="0" w:line="480" w:lineRule="atLeast"/>
        <w:textAlignment w:val="baseline"/>
        <w:rPr>
          <w:kern w:val="2"/>
        </w:rPr>
      </w:pPr>
      <w:r>
        <w:rPr>
          <w:rFonts w:hint="eastAsia"/>
          <w:kern w:val="2"/>
        </w:rPr>
        <w:t>     (1)本招标文件、招标工程量清单;</w:t>
      </w:r>
    </w:p>
    <w:p w14:paraId="70156ECB">
      <w:pPr>
        <w:pStyle w:val="36"/>
        <w:shd w:val="clear" w:color="auto" w:fill="FFFFFF"/>
        <w:spacing w:before="0" w:beforeAutospacing="0" w:after="0" w:afterAutospacing="0" w:line="480" w:lineRule="atLeast"/>
        <w:textAlignment w:val="baseline"/>
        <w:rPr>
          <w:kern w:val="2"/>
        </w:rPr>
      </w:pPr>
      <w:r>
        <w:rPr>
          <w:rFonts w:hint="eastAsia"/>
          <w:kern w:val="2"/>
        </w:rPr>
        <w:t>     (2)《建设工程工程量清单计价规范》;</w:t>
      </w:r>
    </w:p>
    <w:p w14:paraId="629E2625">
      <w:pPr>
        <w:pStyle w:val="36"/>
        <w:shd w:val="clear" w:color="auto" w:fill="FFFFFF"/>
        <w:spacing w:before="0" w:beforeAutospacing="0" w:after="0" w:afterAutospacing="0" w:line="480" w:lineRule="atLeast"/>
        <w:textAlignment w:val="baseline"/>
        <w:rPr>
          <w:kern w:val="2"/>
        </w:rPr>
      </w:pPr>
      <w:r>
        <w:rPr>
          <w:rFonts w:hint="eastAsia"/>
          <w:kern w:val="2"/>
        </w:rPr>
        <w:t>     (3)《关于印发2020&lt;湖南省建设工程计价办法&gt;及&lt;湖南省建设工程消耗量标准&gt;的通知》(湘建价〔2020〕56号);</w:t>
      </w:r>
    </w:p>
    <w:p w14:paraId="19197E35">
      <w:pPr>
        <w:pStyle w:val="36"/>
        <w:shd w:val="clear" w:color="auto" w:fill="FFFFFF"/>
        <w:spacing w:before="0" w:beforeAutospacing="0" w:after="0" w:afterAutospacing="0" w:line="480" w:lineRule="atLeast"/>
        <w:textAlignment w:val="baseline"/>
        <w:rPr>
          <w:kern w:val="2"/>
        </w:rPr>
      </w:pPr>
      <w:r>
        <w:rPr>
          <w:rFonts w:hint="eastAsia"/>
          <w:kern w:val="2"/>
        </w:rPr>
        <w:t>      (4)企业定额和企业数据,湖南省建设行政主管部门颁发的建设工程消耗量标准,取费标准、计费程序;</w:t>
      </w:r>
    </w:p>
    <w:p w14:paraId="6497D810">
      <w:pPr>
        <w:pStyle w:val="36"/>
        <w:shd w:val="clear" w:color="auto" w:fill="FFFFFF"/>
        <w:spacing w:before="0" w:beforeAutospacing="0" w:after="0" w:afterAutospacing="0" w:line="480" w:lineRule="atLeast"/>
        <w:textAlignment w:val="baseline"/>
        <w:rPr>
          <w:kern w:val="2"/>
        </w:rPr>
      </w:pPr>
      <w:r>
        <w:rPr>
          <w:rFonts w:hint="eastAsia"/>
          <w:kern w:val="2"/>
        </w:rPr>
        <w:t>     (5)招标文件(包括工程量清单)的澄清、补充和修改文件;</w:t>
      </w:r>
    </w:p>
    <w:p w14:paraId="6A179691">
      <w:pPr>
        <w:pStyle w:val="36"/>
        <w:shd w:val="clear" w:color="auto" w:fill="FFFFFF"/>
        <w:spacing w:before="0" w:beforeAutospacing="0" w:after="0" w:afterAutospacing="0" w:line="480" w:lineRule="atLeast"/>
        <w:textAlignment w:val="baseline"/>
        <w:rPr>
          <w:kern w:val="2"/>
        </w:rPr>
      </w:pPr>
      <w:r>
        <w:rPr>
          <w:rFonts w:hint="eastAsia"/>
          <w:kern w:val="2"/>
        </w:rPr>
        <w:t>     (6)建设工程设计文件及相关资料;</w:t>
      </w:r>
    </w:p>
    <w:p w14:paraId="75DC862C">
      <w:pPr>
        <w:pStyle w:val="36"/>
        <w:shd w:val="clear" w:color="auto" w:fill="FFFFFF"/>
        <w:spacing w:before="0" w:beforeAutospacing="0" w:after="0" w:afterAutospacing="0" w:line="480" w:lineRule="atLeast"/>
        <w:textAlignment w:val="baseline"/>
        <w:rPr>
          <w:kern w:val="2"/>
        </w:rPr>
      </w:pPr>
      <w:r>
        <w:rPr>
          <w:rFonts w:hint="eastAsia"/>
          <w:kern w:val="2"/>
        </w:rPr>
        <w:t>     (7)施工现场情况、工程特点及拟定的投标施工组织设计或施工方案;</w:t>
      </w:r>
    </w:p>
    <w:p w14:paraId="382DA4B1">
      <w:pPr>
        <w:pStyle w:val="36"/>
        <w:shd w:val="clear" w:color="auto" w:fill="FFFFFF"/>
        <w:spacing w:before="0" w:beforeAutospacing="0" w:after="0" w:afterAutospacing="0" w:line="480" w:lineRule="atLeast"/>
        <w:textAlignment w:val="baseline"/>
        <w:rPr>
          <w:kern w:val="2"/>
        </w:rPr>
      </w:pPr>
      <w:r>
        <w:rPr>
          <w:rFonts w:hint="eastAsia"/>
          <w:kern w:val="2"/>
        </w:rPr>
        <w:t>     (8)与建设项目相关的标准、规范等技术资料;</w:t>
      </w:r>
    </w:p>
    <w:p w14:paraId="31E40059">
      <w:pPr>
        <w:pStyle w:val="36"/>
        <w:shd w:val="clear" w:color="auto" w:fill="FFFFFF"/>
        <w:spacing w:before="0" w:beforeAutospacing="0" w:after="0" w:afterAutospacing="0" w:line="480" w:lineRule="atLeast"/>
        <w:textAlignment w:val="baseline"/>
        <w:rPr>
          <w:kern w:val="2"/>
        </w:rPr>
      </w:pPr>
      <w:r>
        <w:rPr>
          <w:rFonts w:hint="eastAsia"/>
          <w:kern w:val="2"/>
        </w:rPr>
        <w:t>     (9)市场价格信息或工程造价管理机构发布的工程造价信息;</w:t>
      </w:r>
    </w:p>
    <w:p w14:paraId="6F49FBB2">
      <w:pPr>
        <w:pStyle w:val="36"/>
        <w:shd w:val="clear" w:color="auto" w:fill="FFFFFF"/>
        <w:spacing w:before="0" w:beforeAutospacing="0" w:after="0" w:afterAutospacing="0" w:line="480" w:lineRule="atLeast"/>
        <w:textAlignment w:val="baseline"/>
        <w:rPr>
          <w:kern w:val="2"/>
        </w:rPr>
      </w:pPr>
      <w:r>
        <w:rPr>
          <w:rFonts w:hint="eastAsia"/>
          <w:kern w:val="2"/>
        </w:rPr>
        <w:t>     (10)其他的相关资料(招标人可根据有关规定进行细化);</w:t>
      </w:r>
    </w:p>
    <w:p w14:paraId="6CED3BC8">
      <w:pPr>
        <w:pStyle w:val="36"/>
        <w:shd w:val="clear" w:color="auto" w:fill="FFFFFF"/>
        <w:spacing w:before="0" w:beforeAutospacing="0" w:after="0" w:afterAutospacing="0" w:line="480" w:lineRule="atLeast"/>
        <w:ind w:firstLine="210" w:firstLineChars="100"/>
        <w:textAlignment w:val="baseline"/>
        <w:rPr>
          <w:color w:val="FF0000"/>
          <w:kern w:val="2"/>
        </w:rPr>
      </w:pPr>
      <w:r>
        <w:rPr>
          <w:rFonts w:hint="eastAsia"/>
          <w:color w:val="FF0000"/>
          <w:kern w:val="2"/>
        </w:rPr>
        <w:t>（11）湖南省建设厅发布的《湖南省建设工程工程量清单计价办法》(湘建价(2020)56 号)、2020 年《湖南省建设工程消耗量标准》等。</w:t>
      </w:r>
    </w:p>
    <w:p w14:paraId="69A03D41">
      <w:pPr>
        <w:pStyle w:val="36"/>
        <w:shd w:val="clear" w:color="auto" w:fill="FFFFFF"/>
        <w:spacing w:before="0" w:beforeAutospacing="0" w:after="0" w:afterAutospacing="0" w:line="480" w:lineRule="atLeast"/>
        <w:ind w:firstLine="210" w:firstLineChars="100"/>
        <w:textAlignment w:val="baseline"/>
        <w:rPr>
          <w:color w:val="FF0000"/>
          <w:kern w:val="2"/>
        </w:rPr>
      </w:pPr>
      <w:r>
        <w:rPr>
          <w:rFonts w:hint="eastAsia"/>
          <w:color w:val="FF0000"/>
          <w:kern w:val="2"/>
        </w:rPr>
        <w:t>（12）送审的预算书、设计图纸、电子文档等</w:t>
      </w:r>
    </w:p>
    <w:p w14:paraId="1EE48164">
      <w:pPr>
        <w:pStyle w:val="36"/>
        <w:shd w:val="clear" w:color="auto" w:fill="FFFFFF"/>
        <w:spacing w:before="0" w:beforeAutospacing="0" w:after="0" w:afterAutospacing="0" w:line="480" w:lineRule="atLeast"/>
        <w:ind w:firstLine="210" w:firstLineChars="100"/>
        <w:textAlignment w:val="baseline"/>
        <w:rPr>
          <w:color w:val="FF0000"/>
          <w:kern w:val="2"/>
        </w:rPr>
      </w:pPr>
      <w:r>
        <w:rPr>
          <w:rFonts w:hint="eastAsia"/>
          <w:color w:val="FF0000"/>
          <w:kern w:val="2"/>
        </w:rPr>
        <w:t>（13）湘建价[2022]146 号文、永评(2023)9 号文、永财办(2020)1 号文、湘建价建[2024]20 号。</w:t>
      </w:r>
    </w:p>
    <w:p w14:paraId="673C7234">
      <w:pPr>
        <w:pStyle w:val="36"/>
        <w:shd w:val="clear" w:color="auto" w:fill="FFFFFF"/>
        <w:spacing w:before="0" w:beforeAutospacing="0" w:after="0" w:afterAutospacing="0" w:line="480" w:lineRule="atLeast"/>
        <w:ind w:firstLine="210" w:firstLineChars="100"/>
        <w:textAlignment w:val="baseline"/>
        <w:rPr>
          <w:kern w:val="2"/>
        </w:rPr>
      </w:pPr>
      <w:r>
        <w:rPr>
          <w:rFonts w:hint="eastAsia"/>
          <w:color w:val="FF0000"/>
          <w:kern w:val="2"/>
        </w:rPr>
        <w:t>（14）永州建设造价2024 年4 月份材料发布价及市场价格。</w:t>
      </w:r>
      <w:r>
        <w:rPr>
          <w:rFonts w:hint="eastAsia"/>
          <w:kern w:val="2"/>
        </w:rPr>
        <w:t xml:space="preserve">      </w:t>
      </w:r>
    </w:p>
    <w:p w14:paraId="4A03F4CF">
      <w:pPr>
        <w:pStyle w:val="36"/>
        <w:shd w:val="clear" w:color="auto" w:fill="FFFFFF"/>
        <w:spacing w:before="0" w:beforeAutospacing="0" w:after="0" w:afterAutospacing="0" w:line="480" w:lineRule="atLeast"/>
        <w:textAlignment w:val="baseline"/>
        <w:rPr>
          <w:kern w:val="2"/>
        </w:rPr>
      </w:pPr>
      <w:r>
        <w:rPr>
          <w:rFonts w:hint="eastAsia"/>
          <w:kern w:val="2"/>
        </w:rPr>
        <w:t>3.2工程量清单与计价表中列明的所有需要填写单价和合价的项目,投标人均应填写且只允许有一个报价。未填写单价和合价的项目,可视为此项费用已包括在已标价工程量清单中其他相关项目的单价和合价之中。结算时,此项目不得重新组价与调整。</w:t>
      </w:r>
    </w:p>
    <w:p w14:paraId="26BB2622">
      <w:pPr>
        <w:pStyle w:val="36"/>
        <w:shd w:val="clear" w:color="auto" w:fill="FFFFFF"/>
        <w:spacing w:before="0" w:beforeAutospacing="0" w:after="0" w:afterAutospacing="0" w:line="480" w:lineRule="atLeast"/>
        <w:textAlignment w:val="baseline"/>
        <w:rPr>
          <w:kern w:val="2"/>
        </w:rPr>
      </w:pPr>
      <w:r>
        <w:rPr>
          <w:rFonts w:hint="eastAsia"/>
          <w:kern w:val="2"/>
        </w:rPr>
        <w:t>      3.3工程量清单中标价的综合单价或金额,应包括所需人工费、材料费、施工机具使用费、企业管理费、利润,以及一定范围和幅度内风险的费用。所谓“一定范围和幅度内风险”是指合同约定的风险。</w:t>
      </w:r>
    </w:p>
    <w:p w14:paraId="6E1CA60C">
      <w:pPr>
        <w:pStyle w:val="36"/>
        <w:shd w:val="clear" w:color="auto" w:fill="FFFFFF"/>
        <w:spacing w:before="0" w:beforeAutospacing="0" w:after="0" w:afterAutospacing="0" w:line="480" w:lineRule="atLeast"/>
        <w:textAlignment w:val="baseline"/>
        <w:rPr>
          <w:kern w:val="2"/>
        </w:rPr>
      </w:pPr>
      <w:r>
        <w:rPr>
          <w:rFonts w:hint="eastAsia"/>
          <w:kern w:val="2"/>
        </w:rPr>
        <w:t>     3.4“投标总价应当与分部分项工程费、措施项目费、其他项目费、增值税的合计金额一致。</w:t>
      </w:r>
    </w:p>
    <w:p w14:paraId="5F47538F">
      <w:pPr>
        <w:pStyle w:val="36"/>
        <w:shd w:val="clear" w:color="auto" w:fill="FFFFFF"/>
        <w:spacing w:before="0" w:beforeAutospacing="0" w:after="0" w:afterAutospacing="0" w:line="480" w:lineRule="atLeast"/>
        <w:textAlignment w:val="baseline"/>
        <w:rPr>
          <w:kern w:val="2"/>
        </w:rPr>
      </w:pPr>
      <w:r>
        <w:rPr>
          <w:rFonts w:hint="eastAsia"/>
          <w:kern w:val="2"/>
        </w:rPr>
        <w:t>     3.5分部分项工程项目和单价措施项目,应根据工程量清单项目中的特征描述确定综合单价。</w:t>
      </w:r>
    </w:p>
    <w:p w14:paraId="275723FB">
      <w:pPr>
        <w:pStyle w:val="36"/>
        <w:shd w:val="clear" w:color="auto" w:fill="FFFFFF"/>
        <w:spacing w:before="0" w:beforeAutospacing="0" w:after="0" w:afterAutospacing="0" w:line="480" w:lineRule="atLeast"/>
        <w:textAlignment w:val="baseline"/>
        <w:rPr>
          <w:kern w:val="2"/>
        </w:rPr>
      </w:pPr>
      <w:r>
        <w:rPr>
          <w:rFonts w:hint="eastAsia"/>
          <w:kern w:val="2"/>
        </w:rPr>
        <w:t>     3.6总价措施项目金额应根据招标文件和投标人拟定的施工组织设计计算,并列出其计算公式或计算方法。</w:t>
      </w:r>
    </w:p>
    <w:p w14:paraId="337C6AF1">
      <w:pPr>
        <w:pStyle w:val="36"/>
        <w:shd w:val="clear" w:color="auto" w:fill="FFFFFF"/>
        <w:spacing w:before="0" w:beforeAutospacing="0" w:after="0" w:afterAutospacing="0" w:line="480" w:lineRule="atLeast"/>
        <w:textAlignment w:val="baseline"/>
        <w:rPr>
          <w:kern w:val="2"/>
        </w:rPr>
      </w:pPr>
      <w:r>
        <w:rPr>
          <w:rFonts w:hint="eastAsia"/>
          <w:kern w:val="2"/>
        </w:rPr>
        <w:t>     3.7绿色施工安全防护措施项目应按国家或省级建设行政主管部门的规定计算,不得作为竞争性费用。</w:t>
      </w:r>
    </w:p>
    <w:p w14:paraId="2A3F3B6D">
      <w:pPr>
        <w:pStyle w:val="36"/>
        <w:shd w:val="clear" w:color="auto" w:fill="FFFFFF"/>
        <w:spacing w:before="0" w:beforeAutospacing="0" w:after="0" w:afterAutospacing="0" w:line="480" w:lineRule="atLeast"/>
        <w:textAlignment w:val="baseline"/>
        <w:rPr>
          <w:kern w:val="2"/>
        </w:rPr>
      </w:pPr>
      <w:r>
        <w:rPr>
          <w:rFonts w:hint="eastAsia"/>
          <w:kern w:val="2"/>
        </w:rPr>
        <w:t>     3.8其他项目清单应按照下列要求报价</w:t>
      </w:r>
    </w:p>
    <w:p w14:paraId="556915BB">
      <w:pPr>
        <w:pStyle w:val="36"/>
        <w:shd w:val="clear" w:color="auto" w:fill="FFFFFF"/>
        <w:spacing w:before="0" w:beforeAutospacing="0" w:after="0" w:afterAutospacing="0" w:line="480" w:lineRule="atLeast"/>
        <w:textAlignment w:val="baseline"/>
        <w:rPr>
          <w:kern w:val="2"/>
        </w:rPr>
      </w:pPr>
      <w:r>
        <w:rPr>
          <w:rFonts w:hint="eastAsia"/>
          <w:kern w:val="2"/>
        </w:rPr>
        <w:t>     (1)暂列金额应按工程量清单中列出的金额填写;</w:t>
      </w:r>
    </w:p>
    <w:p w14:paraId="20F91F7F">
      <w:pPr>
        <w:pStyle w:val="36"/>
        <w:shd w:val="clear" w:color="auto" w:fill="FFFFFF"/>
        <w:spacing w:before="0" w:beforeAutospacing="0" w:after="0" w:afterAutospacing="0" w:line="480" w:lineRule="atLeast"/>
        <w:textAlignment w:val="baseline"/>
        <w:rPr>
          <w:kern w:val="2"/>
        </w:rPr>
      </w:pPr>
      <w:r>
        <w:rPr>
          <w:rFonts w:hint="eastAsia"/>
          <w:kern w:val="2"/>
        </w:rPr>
        <w:t>      (2)暂估价项目应按工程量清单中列出的金额填写;</w:t>
      </w:r>
    </w:p>
    <w:p w14:paraId="728F50A6">
      <w:pPr>
        <w:pStyle w:val="36"/>
        <w:shd w:val="clear" w:color="auto" w:fill="FFFFFF"/>
        <w:spacing w:before="0" w:beforeAutospacing="0" w:after="0" w:afterAutospacing="0" w:line="480" w:lineRule="atLeast"/>
        <w:textAlignment w:val="baseline"/>
        <w:rPr>
          <w:kern w:val="2"/>
        </w:rPr>
      </w:pPr>
      <w:r>
        <w:rPr>
          <w:rFonts w:hint="eastAsia"/>
          <w:kern w:val="2"/>
        </w:rPr>
        <w:t>     (3)计日工应按工程量清单中列出的项目和数量,参考国家、省级、行业建设主管部门颁发的计价文件及其计价办法和市场定价方法、类似工程计价方法及企业定额和数据确定综合单价计算计日工金额;</w:t>
      </w:r>
    </w:p>
    <w:p w14:paraId="467A4A81">
      <w:pPr>
        <w:pStyle w:val="36"/>
        <w:shd w:val="clear" w:color="auto" w:fill="FFFFFF"/>
        <w:spacing w:before="0" w:beforeAutospacing="0" w:after="0" w:afterAutospacing="0" w:line="480" w:lineRule="atLeast"/>
        <w:textAlignment w:val="baseline"/>
        <w:rPr>
          <w:kern w:val="2"/>
        </w:rPr>
      </w:pPr>
      <w:r>
        <w:rPr>
          <w:rFonts w:hint="eastAsia"/>
          <w:kern w:val="2"/>
        </w:rPr>
        <w:t>     (4)总承包服务费应按工程量清单中列出的项目及其项目特征描述和招标文件中相应提出的服务范围、内容与要求自主确定;</w:t>
      </w:r>
    </w:p>
    <w:p w14:paraId="3E61DA5E">
      <w:pPr>
        <w:pStyle w:val="36"/>
        <w:shd w:val="clear" w:color="auto" w:fill="FFFFFF"/>
        <w:spacing w:before="0" w:beforeAutospacing="0" w:after="0" w:afterAutospacing="0" w:line="480" w:lineRule="atLeast"/>
        <w:textAlignment w:val="baseline"/>
        <w:rPr>
          <w:kern w:val="2"/>
        </w:rPr>
      </w:pPr>
      <w:r>
        <w:rPr>
          <w:rFonts w:hint="eastAsia"/>
          <w:kern w:val="2"/>
        </w:rPr>
        <w:t>      (5)安全责任险、环境保护税应按工程量清单中列出的项目,和国家或省级、行业建设主管部门的规定计算,不得作为竞争性费用。</w:t>
      </w:r>
    </w:p>
    <w:p w14:paraId="6BBFC002">
      <w:pPr>
        <w:pStyle w:val="36"/>
        <w:shd w:val="clear" w:color="auto" w:fill="FFFFFF"/>
        <w:spacing w:before="0" w:beforeAutospacing="0" w:after="0" w:afterAutospacing="0" w:line="480" w:lineRule="atLeast"/>
        <w:textAlignment w:val="baseline"/>
        <w:rPr>
          <w:kern w:val="2"/>
        </w:rPr>
      </w:pPr>
      <w:r>
        <w:rPr>
          <w:rFonts w:hint="eastAsia"/>
          <w:kern w:val="2"/>
        </w:rPr>
        <w:t>      3.9增值税应按政府有关主管部门的规定计算费用,不得作为竞争性费用。</w:t>
      </w:r>
    </w:p>
    <w:p w14:paraId="35C55EC8">
      <w:pPr>
        <w:pStyle w:val="36"/>
        <w:shd w:val="clear" w:color="auto" w:fill="FFFFFF"/>
        <w:spacing w:before="0" w:beforeAutospacing="0" w:after="0" w:afterAutospacing="0" w:line="480" w:lineRule="atLeast"/>
        <w:textAlignment w:val="baseline"/>
        <w:rPr>
          <w:kern w:val="2"/>
        </w:rPr>
      </w:pPr>
      <w:r>
        <w:rPr>
          <w:rFonts w:hint="eastAsia"/>
          <w:kern w:val="2"/>
        </w:rPr>
        <w:t>     3.10除招标文件有强制性规定以及不可竞争部分以外,投标报价由投标人自主确定,但不得低于工程成本。</w:t>
      </w:r>
    </w:p>
    <w:p w14:paraId="5F0F7286">
      <w:pPr>
        <w:pStyle w:val="36"/>
        <w:shd w:val="clear" w:color="auto" w:fill="FFFFFF"/>
        <w:spacing w:before="0" w:beforeAutospacing="0" w:after="0" w:afterAutospacing="0" w:line="480" w:lineRule="atLeast"/>
        <w:textAlignment w:val="baseline"/>
        <w:rPr>
          <w:kern w:val="2"/>
        </w:rPr>
      </w:pPr>
      <w:r>
        <w:rPr>
          <w:rFonts w:hint="eastAsia"/>
          <w:kern w:val="2"/>
        </w:rPr>
        <w:t>     3.11工程量清单计价所涉及的生产资源(包括各类人工、材料、工程设备、施工设备、临时设施、临时用水、临时用电等)的投标价格,应根据自身的信息渠道和采购渠道,分析其市场价格水平,体现投标人自身的管理水平、技术水平和综合实力。</w:t>
      </w:r>
    </w:p>
    <w:p w14:paraId="2638EB11">
      <w:pPr>
        <w:pStyle w:val="36"/>
        <w:shd w:val="clear" w:color="auto" w:fill="FFFFFF"/>
        <w:spacing w:before="0" w:beforeAutospacing="0" w:after="0" w:afterAutospacing="0" w:line="480" w:lineRule="atLeast"/>
        <w:textAlignment w:val="baseline"/>
        <w:rPr>
          <w:kern w:val="2"/>
        </w:rPr>
      </w:pPr>
      <w:r>
        <w:rPr>
          <w:rFonts w:hint="eastAsia"/>
          <w:kern w:val="2"/>
        </w:rPr>
        <w:t>     3.12管理费应由投标人在保证不低于其成本的基础上做竞争性考虑;利润由投标人根据自身情况和综合实力做竞争性考虑。</w:t>
      </w:r>
    </w:p>
    <w:p w14:paraId="5F6F3353">
      <w:pPr>
        <w:pStyle w:val="36"/>
        <w:shd w:val="clear" w:color="auto" w:fill="FFFFFF"/>
        <w:spacing w:before="0" w:beforeAutospacing="0" w:after="0" w:afterAutospacing="0" w:line="480" w:lineRule="atLeast"/>
        <w:textAlignment w:val="baseline"/>
        <w:rPr>
          <w:kern w:val="2"/>
        </w:rPr>
      </w:pPr>
      <w:r>
        <w:rPr>
          <w:rFonts w:hint="eastAsia"/>
          <w:kern w:val="2"/>
        </w:rPr>
        <w:t>     3.13投标总价为投标人在投标文件中提出的各项支付金额的总和,为实施、完成招标工程并修补缺陷以及履行招标文件中约定的风险范围内的所有责任和义务所发生的全部费用。</w:t>
      </w:r>
    </w:p>
    <w:p w14:paraId="3E2E1598">
      <w:pPr>
        <w:pStyle w:val="36"/>
        <w:shd w:val="clear" w:color="auto" w:fill="FFFFFF"/>
        <w:spacing w:before="0" w:beforeAutospacing="0" w:after="0" w:afterAutospacing="0" w:line="480" w:lineRule="atLeast"/>
        <w:textAlignment w:val="baseline"/>
        <w:rPr>
          <w:kern w:val="2"/>
        </w:rPr>
      </w:pPr>
      <w:r>
        <w:rPr>
          <w:rFonts w:hint="eastAsia"/>
          <w:kern w:val="2"/>
        </w:rPr>
        <w:t>     3.14投标报价文件制作时所用的计价软件采用通过湖南省住房和城乡建设厅测评合格的软件。</w:t>
      </w:r>
    </w:p>
    <w:p w14:paraId="19A61012">
      <w:pPr>
        <w:pStyle w:val="4"/>
        <w:spacing w:before="0" w:after="0" w:line="360" w:lineRule="auto"/>
        <w:rPr>
          <w:rFonts w:ascii="Times New Roman" w:hAnsi="Times New Roman" w:eastAsia="黑体"/>
          <w:b w:val="0"/>
          <w:bCs w:val="0"/>
          <w:sz w:val="30"/>
        </w:rPr>
      </w:pPr>
      <w:bookmarkStart w:id="539" w:name="_Toc80006117"/>
      <w:bookmarkStart w:id="540" w:name="_Toc80006227"/>
      <w:r>
        <w:rPr>
          <w:rFonts w:hint="eastAsia" w:ascii="Times New Roman" w:hAnsi="Times New Roman" w:eastAsia="黑体"/>
          <w:b w:val="0"/>
          <w:bCs w:val="0"/>
          <w:sz w:val="30"/>
        </w:rPr>
        <w:t>4.其他说明</w:t>
      </w:r>
      <w:bookmarkEnd w:id="539"/>
      <w:bookmarkEnd w:id="540"/>
    </w:p>
    <w:p w14:paraId="2AD1E719">
      <w:pPr>
        <w:pStyle w:val="36"/>
        <w:shd w:val="clear" w:color="auto" w:fill="FFFFFF"/>
        <w:spacing w:before="0" w:beforeAutospacing="0" w:after="0" w:afterAutospacing="0" w:line="480" w:lineRule="atLeast"/>
        <w:textAlignment w:val="baseline"/>
        <w:rPr>
          <w:rFonts w:ascii="微软雅黑" w:hAnsi="微软雅黑" w:eastAsia="微软雅黑"/>
        </w:rPr>
      </w:pPr>
      <w:r>
        <w:rPr>
          <w:rFonts w:hint="eastAsia" w:ascii="微软雅黑" w:hAnsi="微软雅黑" w:eastAsia="微软雅黑"/>
        </w:rPr>
        <w:t>……</w:t>
      </w:r>
    </w:p>
    <w:p w14:paraId="4BCA3047">
      <w:pPr>
        <w:pStyle w:val="36"/>
        <w:shd w:val="clear" w:color="auto" w:fill="FFFFFF"/>
        <w:spacing w:before="0" w:beforeAutospacing="0" w:after="0" w:afterAutospacing="0" w:line="480" w:lineRule="atLeast"/>
        <w:textAlignment w:val="baseline"/>
        <w:rPr>
          <w:kern w:val="2"/>
        </w:rPr>
      </w:pPr>
      <w:r>
        <w:rPr>
          <w:rFonts w:hint="eastAsia"/>
          <w:kern w:val="2"/>
        </w:rPr>
        <w:t>   </w:t>
      </w:r>
    </w:p>
    <w:bookmarkEnd w:id="534"/>
    <w:p w14:paraId="0D3FB56C">
      <w:pPr>
        <w:pStyle w:val="4"/>
        <w:spacing w:before="0" w:after="0" w:line="360" w:lineRule="auto"/>
        <w:rPr>
          <w:rFonts w:ascii="Times New Roman" w:hAnsi="Times New Roman" w:eastAsia="黑体"/>
          <w:b w:val="0"/>
          <w:bCs w:val="0"/>
          <w:sz w:val="30"/>
        </w:rPr>
      </w:pPr>
      <w:bookmarkStart w:id="541" w:name="_Toc9178544"/>
      <w:bookmarkStart w:id="542" w:name="_Toc80006228"/>
      <w:bookmarkStart w:id="543" w:name="_Toc80006118"/>
      <w:r>
        <w:rPr>
          <w:rFonts w:ascii="Times New Roman" w:hAnsi="Times New Roman" w:eastAsia="黑体"/>
          <w:b w:val="0"/>
          <w:bCs w:val="0"/>
          <w:sz w:val="30"/>
        </w:rPr>
        <w:t>5.工程量清单（另册）</w:t>
      </w:r>
      <w:bookmarkEnd w:id="541"/>
      <w:bookmarkEnd w:id="542"/>
      <w:bookmarkEnd w:id="543"/>
    </w:p>
    <w:p w14:paraId="32ABD7F9">
      <w:pPr>
        <w:ind w:firstLine="480"/>
        <w:jc w:val="left"/>
      </w:pPr>
      <w:r>
        <w:t>请在</w:t>
      </w:r>
      <w:r>
        <w:rPr>
          <w:u w:val="single"/>
        </w:rPr>
        <w:t xml:space="preserve"> </w:t>
      </w:r>
      <w:r>
        <w:rPr>
          <w:rFonts w:hint="eastAsia" w:ascii="宋体" w:hAnsi="宋体"/>
          <w:color w:val="FF0000"/>
          <w:u w:val="single"/>
        </w:rPr>
        <w:t>永州市公共资源交易中心网</w:t>
      </w:r>
      <w:r>
        <w:rPr>
          <w:rFonts w:hint="eastAsia"/>
          <w:u w:val="single"/>
        </w:rPr>
        <w:t xml:space="preserve"> </w:t>
      </w:r>
      <w:r>
        <w:t>下载。</w:t>
      </w:r>
      <w:r>
        <w:br w:type="page"/>
      </w:r>
    </w:p>
    <w:p w14:paraId="32C8B4F0"/>
    <w:p w14:paraId="5E2CF8B5"/>
    <w:p w14:paraId="6F33C16A"/>
    <w:p w14:paraId="76B4561A"/>
    <w:p w14:paraId="5AB83695"/>
    <w:p w14:paraId="6071C041"/>
    <w:p w14:paraId="51E18E8B"/>
    <w:p w14:paraId="7413B824"/>
    <w:p w14:paraId="0E1AE75D"/>
    <w:p w14:paraId="4586EF44"/>
    <w:p w14:paraId="24FEB717"/>
    <w:p w14:paraId="0AB1D4C1"/>
    <w:p w14:paraId="10CF07FD"/>
    <w:p w14:paraId="3C69A8D6"/>
    <w:p w14:paraId="48D11072"/>
    <w:p w14:paraId="76269CB7"/>
    <w:p w14:paraId="542C3B64">
      <w:pPr>
        <w:pStyle w:val="3"/>
        <w:jc w:val="center"/>
        <w:rPr>
          <w:rFonts w:ascii="Times New Roman" w:hAnsi="Times New Roman" w:eastAsia="黑体"/>
          <w:b w:val="0"/>
          <w:bCs w:val="0"/>
          <w:sz w:val="44"/>
          <w:szCs w:val="44"/>
        </w:rPr>
      </w:pPr>
      <w:bookmarkStart w:id="544" w:name="_Toc300678501"/>
      <w:bookmarkStart w:id="545" w:name="_Toc80006229"/>
      <w:bookmarkStart w:id="546" w:name="_Toc80006119"/>
      <w:r>
        <w:rPr>
          <w:rFonts w:ascii="Times New Roman" w:hAnsi="Times New Roman" w:eastAsia="黑体"/>
          <w:b w:val="0"/>
          <w:bCs w:val="0"/>
          <w:sz w:val="44"/>
          <w:szCs w:val="44"/>
        </w:rPr>
        <w:t>第  二  卷</w:t>
      </w:r>
      <w:bookmarkEnd w:id="544"/>
      <w:bookmarkEnd w:id="545"/>
      <w:bookmarkEnd w:id="546"/>
    </w:p>
    <w:p w14:paraId="7DCFA4B5">
      <w:pPr>
        <w:rPr>
          <w:lang w:val="zh-CN"/>
        </w:rPr>
      </w:pPr>
    </w:p>
    <w:p w14:paraId="707C8F12">
      <w:pPr>
        <w:rPr>
          <w:lang w:val="zh-CN"/>
        </w:rPr>
      </w:pPr>
    </w:p>
    <w:p w14:paraId="5FE4EE93"/>
    <w:p w14:paraId="5F6A4DB6">
      <w:pPr>
        <w:pStyle w:val="3"/>
        <w:spacing w:before="0" w:after="0"/>
        <w:jc w:val="center"/>
        <w:rPr>
          <w:rFonts w:ascii="Times New Roman" w:hAnsi="Times New Roman" w:eastAsia="黑体"/>
          <w:b w:val="0"/>
        </w:rPr>
      </w:pPr>
      <w:bookmarkStart w:id="547" w:name="_Toc300678502"/>
      <w:bookmarkStart w:id="548" w:name="_Toc80006120"/>
      <w:bookmarkStart w:id="549" w:name="_Toc80006230"/>
      <w:r>
        <w:rPr>
          <w:rFonts w:ascii="Times New Roman" w:hAnsi="Times New Roman" w:eastAsia="黑体"/>
          <w:b w:val="0"/>
          <w:bCs w:val="0"/>
        </w:rPr>
        <w:t>第六章  图  纸</w:t>
      </w:r>
      <w:bookmarkEnd w:id="547"/>
      <w:r>
        <w:rPr>
          <w:rFonts w:ascii="Times New Roman" w:hAnsi="Times New Roman" w:eastAsia="黑体"/>
          <w:b w:val="0"/>
        </w:rPr>
        <w:t>（另册）</w:t>
      </w:r>
      <w:bookmarkEnd w:id="548"/>
      <w:bookmarkEnd w:id="549"/>
    </w:p>
    <w:p w14:paraId="6292104C">
      <w:pPr>
        <w:spacing w:line="420" w:lineRule="exact"/>
        <w:jc w:val="center"/>
      </w:pPr>
      <w:r>
        <w:t>请在</w:t>
      </w:r>
      <w:r>
        <w:rPr>
          <w:u w:val="single"/>
        </w:rPr>
        <w:t xml:space="preserve">   </w:t>
      </w:r>
      <w:r>
        <w:rPr>
          <w:rFonts w:hint="eastAsia"/>
          <w:u w:val="single"/>
        </w:rPr>
        <w:t>永州市公共资源交易中心网</w:t>
      </w:r>
      <w:r>
        <w:rPr>
          <w:u w:val="single"/>
        </w:rPr>
        <w:t xml:space="preserve">  </w:t>
      </w:r>
      <w:r>
        <w:t>下载</w:t>
      </w:r>
    </w:p>
    <w:p w14:paraId="2822B612">
      <w:pPr>
        <w:spacing w:line="420" w:lineRule="exact"/>
        <w:jc w:val="center"/>
      </w:pPr>
    </w:p>
    <w:p w14:paraId="6979271E">
      <w:pPr>
        <w:spacing w:line="420" w:lineRule="exact"/>
        <w:jc w:val="center"/>
      </w:pPr>
    </w:p>
    <w:p w14:paraId="4C988059">
      <w:pPr>
        <w:spacing w:line="420" w:lineRule="exact"/>
        <w:jc w:val="center"/>
      </w:pPr>
    </w:p>
    <w:p w14:paraId="3ACF3F82">
      <w:pPr>
        <w:spacing w:line="420" w:lineRule="exact"/>
        <w:jc w:val="center"/>
      </w:pPr>
    </w:p>
    <w:p w14:paraId="1AE9E88B">
      <w:pPr>
        <w:spacing w:line="420" w:lineRule="exact"/>
        <w:jc w:val="center"/>
      </w:pPr>
    </w:p>
    <w:p w14:paraId="771F801F">
      <w:pPr>
        <w:spacing w:line="420" w:lineRule="exact"/>
        <w:jc w:val="center"/>
      </w:pPr>
    </w:p>
    <w:p w14:paraId="52DE78EB">
      <w:pPr>
        <w:spacing w:line="420" w:lineRule="exact"/>
        <w:jc w:val="center"/>
      </w:pPr>
    </w:p>
    <w:p w14:paraId="307FFAE3">
      <w:pPr>
        <w:spacing w:line="420" w:lineRule="exact"/>
        <w:jc w:val="center"/>
      </w:pPr>
    </w:p>
    <w:p w14:paraId="128FE42B">
      <w:pPr>
        <w:spacing w:line="420" w:lineRule="exact"/>
        <w:jc w:val="center"/>
      </w:pPr>
    </w:p>
    <w:p w14:paraId="6D40D13A">
      <w:pPr>
        <w:spacing w:line="420" w:lineRule="exact"/>
        <w:jc w:val="center"/>
      </w:pPr>
    </w:p>
    <w:p w14:paraId="576FB81A">
      <w:pPr>
        <w:spacing w:line="420" w:lineRule="exact"/>
        <w:jc w:val="center"/>
        <w:sectPr>
          <w:pgSz w:w="11907" w:h="16840"/>
          <w:pgMar w:top="1440" w:right="1440" w:bottom="1440" w:left="1440" w:header="851" w:footer="850" w:gutter="0"/>
          <w:cols w:space="720" w:num="1"/>
          <w:docGrid w:linePitch="326" w:charSpace="0"/>
        </w:sectPr>
      </w:pPr>
    </w:p>
    <w:p w14:paraId="49EAF85B">
      <w:pPr>
        <w:spacing w:line="420" w:lineRule="exact"/>
        <w:jc w:val="center"/>
      </w:pPr>
    </w:p>
    <w:p w14:paraId="66043F59">
      <w:pPr>
        <w:pStyle w:val="181"/>
      </w:pPr>
      <w:bookmarkStart w:id="550" w:name="_Toc79998407"/>
      <w:bookmarkStart w:id="551" w:name="_Toc152045783"/>
      <w:bookmarkStart w:id="552" w:name="_Toc9178547"/>
      <w:bookmarkStart w:id="553" w:name="_Toc80006121"/>
      <w:bookmarkStart w:id="554" w:name="_Toc179632801"/>
      <w:bookmarkStart w:id="555" w:name="_Toc152042572"/>
      <w:bookmarkStart w:id="556" w:name="_Toc80006231"/>
      <w:bookmarkStart w:id="557" w:name="_Toc144974852"/>
      <w:r>
        <w:rPr>
          <w:rFonts w:hint="eastAsia"/>
        </w:rPr>
        <w:t>1. 图纸目录</w:t>
      </w:r>
      <w:bookmarkEnd w:id="550"/>
      <w:bookmarkEnd w:id="551"/>
      <w:bookmarkEnd w:id="552"/>
      <w:bookmarkEnd w:id="553"/>
      <w:bookmarkEnd w:id="554"/>
      <w:bookmarkEnd w:id="555"/>
      <w:bookmarkEnd w:id="556"/>
      <w:bookmarkEnd w:id="557"/>
    </w:p>
    <w:p w14:paraId="53D609B9">
      <w:pPr>
        <w:spacing w:line="400" w:lineRule="exact"/>
      </w:pPr>
    </w:p>
    <w:tbl>
      <w:tblPr>
        <w:tblStyle w:val="40"/>
        <w:tblW w:w="100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0"/>
        <w:gridCol w:w="1570"/>
        <w:gridCol w:w="1570"/>
        <w:gridCol w:w="1570"/>
        <w:gridCol w:w="1570"/>
        <w:gridCol w:w="2249"/>
      </w:tblGrid>
      <w:tr w14:paraId="6011E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49624CA3">
            <w:pPr>
              <w:jc w:val="center"/>
              <w:rPr>
                <w:rFonts w:ascii="宋体" w:hAnsi="宋体" w:cs="宋体"/>
                <w:szCs w:val="21"/>
              </w:rPr>
            </w:pPr>
            <w:r>
              <w:rPr>
                <w:rFonts w:hint="eastAsia" w:ascii="宋体" w:hAnsi="宋体" w:cs="宋体"/>
                <w:szCs w:val="21"/>
              </w:rPr>
              <w:t>序号</w:t>
            </w:r>
          </w:p>
        </w:tc>
        <w:tc>
          <w:tcPr>
            <w:tcW w:w="1570" w:type="dxa"/>
            <w:vAlign w:val="center"/>
          </w:tcPr>
          <w:p w14:paraId="3742A6F4">
            <w:pPr>
              <w:jc w:val="center"/>
              <w:rPr>
                <w:rFonts w:ascii="宋体" w:hAnsi="宋体" w:cs="宋体"/>
                <w:szCs w:val="21"/>
              </w:rPr>
            </w:pPr>
            <w:r>
              <w:rPr>
                <w:rFonts w:hint="eastAsia" w:ascii="宋体" w:hAnsi="宋体" w:cs="宋体"/>
                <w:szCs w:val="21"/>
              </w:rPr>
              <w:t>图名</w:t>
            </w:r>
          </w:p>
        </w:tc>
        <w:tc>
          <w:tcPr>
            <w:tcW w:w="1570" w:type="dxa"/>
            <w:vAlign w:val="center"/>
          </w:tcPr>
          <w:p w14:paraId="1C63474D">
            <w:pPr>
              <w:jc w:val="center"/>
              <w:rPr>
                <w:rFonts w:ascii="宋体" w:hAnsi="宋体" w:cs="宋体"/>
                <w:szCs w:val="21"/>
              </w:rPr>
            </w:pPr>
            <w:r>
              <w:rPr>
                <w:rFonts w:hint="eastAsia" w:ascii="宋体" w:hAnsi="宋体" w:cs="宋体"/>
                <w:szCs w:val="21"/>
              </w:rPr>
              <w:t>图号</w:t>
            </w:r>
          </w:p>
        </w:tc>
        <w:tc>
          <w:tcPr>
            <w:tcW w:w="1570" w:type="dxa"/>
            <w:vAlign w:val="center"/>
          </w:tcPr>
          <w:p w14:paraId="662569DA">
            <w:pPr>
              <w:jc w:val="center"/>
              <w:rPr>
                <w:rFonts w:ascii="宋体" w:hAnsi="宋体" w:cs="宋体"/>
                <w:szCs w:val="21"/>
              </w:rPr>
            </w:pPr>
            <w:r>
              <w:rPr>
                <w:rFonts w:hint="eastAsia" w:ascii="宋体" w:hAnsi="宋体" w:cs="宋体"/>
                <w:szCs w:val="21"/>
              </w:rPr>
              <w:t>版本</w:t>
            </w:r>
          </w:p>
        </w:tc>
        <w:tc>
          <w:tcPr>
            <w:tcW w:w="1570" w:type="dxa"/>
            <w:vAlign w:val="center"/>
          </w:tcPr>
          <w:p w14:paraId="1C29AB78">
            <w:pPr>
              <w:jc w:val="center"/>
              <w:rPr>
                <w:rFonts w:ascii="宋体" w:hAnsi="宋体" w:cs="宋体"/>
                <w:szCs w:val="21"/>
              </w:rPr>
            </w:pPr>
            <w:r>
              <w:rPr>
                <w:rFonts w:hint="eastAsia" w:ascii="宋体" w:hAnsi="宋体" w:cs="宋体"/>
                <w:szCs w:val="21"/>
              </w:rPr>
              <w:t>出图日期</w:t>
            </w:r>
          </w:p>
        </w:tc>
        <w:tc>
          <w:tcPr>
            <w:tcW w:w="2249" w:type="dxa"/>
            <w:vAlign w:val="center"/>
          </w:tcPr>
          <w:p w14:paraId="5797832B">
            <w:pPr>
              <w:jc w:val="center"/>
              <w:rPr>
                <w:rFonts w:ascii="宋体" w:hAnsi="宋体" w:cs="宋体"/>
                <w:szCs w:val="21"/>
              </w:rPr>
            </w:pPr>
            <w:r>
              <w:rPr>
                <w:rFonts w:hint="eastAsia" w:ascii="宋体" w:hAnsi="宋体" w:cs="宋体"/>
                <w:szCs w:val="21"/>
              </w:rPr>
              <w:t>备注</w:t>
            </w:r>
          </w:p>
        </w:tc>
      </w:tr>
      <w:tr w14:paraId="6AA30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505916B2">
            <w:pPr>
              <w:jc w:val="center"/>
              <w:rPr>
                <w:rFonts w:ascii="宋体" w:hAnsi="宋体" w:cs="宋体"/>
                <w:szCs w:val="21"/>
              </w:rPr>
            </w:pPr>
          </w:p>
        </w:tc>
        <w:tc>
          <w:tcPr>
            <w:tcW w:w="1570" w:type="dxa"/>
            <w:vAlign w:val="center"/>
          </w:tcPr>
          <w:p w14:paraId="54E7C88F">
            <w:pPr>
              <w:jc w:val="center"/>
              <w:rPr>
                <w:rFonts w:ascii="宋体" w:hAnsi="宋体" w:cs="宋体"/>
                <w:szCs w:val="21"/>
              </w:rPr>
            </w:pPr>
          </w:p>
        </w:tc>
        <w:tc>
          <w:tcPr>
            <w:tcW w:w="1570" w:type="dxa"/>
            <w:vAlign w:val="center"/>
          </w:tcPr>
          <w:p w14:paraId="2BCCAC0F">
            <w:pPr>
              <w:jc w:val="center"/>
              <w:rPr>
                <w:rFonts w:ascii="宋体" w:hAnsi="宋体" w:cs="宋体"/>
                <w:szCs w:val="21"/>
              </w:rPr>
            </w:pPr>
          </w:p>
        </w:tc>
        <w:tc>
          <w:tcPr>
            <w:tcW w:w="1570" w:type="dxa"/>
            <w:vAlign w:val="center"/>
          </w:tcPr>
          <w:p w14:paraId="55039E07">
            <w:pPr>
              <w:jc w:val="center"/>
              <w:rPr>
                <w:rFonts w:ascii="宋体" w:hAnsi="宋体" w:cs="宋体"/>
                <w:szCs w:val="21"/>
              </w:rPr>
            </w:pPr>
          </w:p>
        </w:tc>
        <w:tc>
          <w:tcPr>
            <w:tcW w:w="1570" w:type="dxa"/>
            <w:vAlign w:val="center"/>
          </w:tcPr>
          <w:p w14:paraId="198F574D">
            <w:pPr>
              <w:jc w:val="center"/>
              <w:rPr>
                <w:rFonts w:ascii="宋体" w:hAnsi="宋体" w:cs="宋体"/>
                <w:szCs w:val="21"/>
              </w:rPr>
            </w:pPr>
          </w:p>
        </w:tc>
        <w:tc>
          <w:tcPr>
            <w:tcW w:w="2249" w:type="dxa"/>
            <w:vAlign w:val="center"/>
          </w:tcPr>
          <w:p w14:paraId="1C227189">
            <w:pPr>
              <w:jc w:val="center"/>
              <w:rPr>
                <w:rFonts w:ascii="宋体" w:hAnsi="宋体" w:cs="宋体"/>
                <w:szCs w:val="21"/>
              </w:rPr>
            </w:pPr>
          </w:p>
        </w:tc>
      </w:tr>
      <w:tr w14:paraId="2281D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1BDDD07D">
            <w:pPr>
              <w:jc w:val="center"/>
              <w:rPr>
                <w:rFonts w:ascii="宋体" w:hAnsi="宋体" w:cs="宋体"/>
                <w:szCs w:val="21"/>
              </w:rPr>
            </w:pPr>
          </w:p>
        </w:tc>
        <w:tc>
          <w:tcPr>
            <w:tcW w:w="1570" w:type="dxa"/>
            <w:vAlign w:val="center"/>
          </w:tcPr>
          <w:p w14:paraId="68154473">
            <w:pPr>
              <w:jc w:val="center"/>
              <w:rPr>
                <w:rFonts w:ascii="宋体" w:hAnsi="宋体" w:cs="宋体"/>
                <w:szCs w:val="21"/>
              </w:rPr>
            </w:pPr>
          </w:p>
        </w:tc>
        <w:tc>
          <w:tcPr>
            <w:tcW w:w="1570" w:type="dxa"/>
            <w:vAlign w:val="center"/>
          </w:tcPr>
          <w:p w14:paraId="0E571BB8">
            <w:pPr>
              <w:jc w:val="center"/>
              <w:rPr>
                <w:rFonts w:ascii="宋体" w:hAnsi="宋体" w:cs="宋体"/>
                <w:szCs w:val="21"/>
              </w:rPr>
            </w:pPr>
          </w:p>
        </w:tc>
        <w:tc>
          <w:tcPr>
            <w:tcW w:w="1570" w:type="dxa"/>
            <w:vAlign w:val="center"/>
          </w:tcPr>
          <w:p w14:paraId="41405463">
            <w:pPr>
              <w:jc w:val="center"/>
              <w:rPr>
                <w:rFonts w:ascii="宋体" w:hAnsi="宋体" w:cs="宋体"/>
                <w:szCs w:val="21"/>
              </w:rPr>
            </w:pPr>
          </w:p>
        </w:tc>
        <w:tc>
          <w:tcPr>
            <w:tcW w:w="1570" w:type="dxa"/>
            <w:vAlign w:val="center"/>
          </w:tcPr>
          <w:p w14:paraId="5A594E1C">
            <w:pPr>
              <w:jc w:val="center"/>
              <w:rPr>
                <w:rFonts w:ascii="宋体" w:hAnsi="宋体" w:cs="宋体"/>
                <w:szCs w:val="21"/>
              </w:rPr>
            </w:pPr>
          </w:p>
        </w:tc>
        <w:tc>
          <w:tcPr>
            <w:tcW w:w="2249" w:type="dxa"/>
            <w:vAlign w:val="center"/>
          </w:tcPr>
          <w:p w14:paraId="24948CA1">
            <w:pPr>
              <w:jc w:val="center"/>
              <w:rPr>
                <w:rFonts w:ascii="宋体" w:hAnsi="宋体" w:cs="宋体"/>
                <w:szCs w:val="21"/>
              </w:rPr>
            </w:pPr>
          </w:p>
        </w:tc>
      </w:tr>
      <w:tr w14:paraId="32424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0564E6FE">
            <w:pPr>
              <w:jc w:val="center"/>
              <w:rPr>
                <w:rFonts w:ascii="宋体" w:hAnsi="宋体" w:cs="宋体"/>
                <w:szCs w:val="21"/>
              </w:rPr>
            </w:pPr>
          </w:p>
        </w:tc>
        <w:tc>
          <w:tcPr>
            <w:tcW w:w="1570" w:type="dxa"/>
            <w:vAlign w:val="center"/>
          </w:tcPr>
          <w:p w14:paraId="30690425">
            <w:pPr>
              <w:jc w:val="center"/>
              <w:rPr>
                <w:rFonts w:ascii="宋体" w:hAnsi="宋体" w:cs="宋体"/>
                <w:szCs w:val="21"/>
              </w:rPr>
            </w:pPr>
          </w:p>
        </w:tc>
        <w:tc>
          <w:tcPr>
            <w:tcW w:w="1570" w:type="dxa"/>
            <w:vAlign w:val="center"/>
          </w:tcPr>
          <w:p w14:paraId="47607BD5">
            <w:pPr>
              <w:jc w:val="center"/>
              <w:rPr>
                <w:rFonts w:ascii="宋体" w:hAnsi="宋体" w:cs="宋体"/>
                <w:szCs w:val="21"/>
              </w:rPr>
            </w:pPr>
          </w:p>
        </w:tc>
        <w:tc>
          <w:tcPr>
            <w:tcW w:w="1570" w:type="dxa"/>
            <w:vAlign w:val="center"/>
          </w:tcPr>
          <w:p w14:paraId="75175EEF">
            <w:pPr>
              <w:jc w:val="center"/>
              <w:rPr>
                <w:rFonts w:ascii="宋体" w:hAnsi="宋体" w:cs="宋体"/>
                <w:szCs w:val="21"/>
              </w:rPr>
            </w:pPr>
          </w:p>
        </w:tc>
        <w:tc>
          <w:tcPr>
            <w:tcW w:w="1570" w:type="dxa"/>
            <w:vAlign w:val="center"/>
          </w:tcPr>
          <w:p w14:paraId="4AC52961">
            <w:pPr>
              <w:jc w:val="center"/>
              <w:rPr>
                <w:rFonts w:ascii="宋体" w:hAnsi="宋体" w:cs="宋体"/>
                <w:szCs w:val="21"/>
              </w:rPr>
            </w:pPr>
          </w:p>
        </w:tc>
        <w:tc>
          <w:tcPr>
            <w:tcW w:w="2249" w:type="dxa"/>
            <w:vAlign w:val="center"/>
          </w:tcPr>
          <w:p w14:paraId="3A694CD5">
            <w:pPr>
              <w:jc w:val="center"/>
              <w:rPr>
                <w:rFonts w:ascii="宋体" w:hAnsi="宋体" w:cs="宋体"/>
                <w:szCs w:val="21"/>
              </w:rPr>
            </w:pPr>
          </w:p>
        </w:tc>
      </w:tr>
      <w:tr w14:paraId="244D3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59913243">
            <w:pPr>
              <w:jc w:val="center"/>
              <w:rPr>
                <w:rFonts w:ascii="宋体" w:hAnsi="宋体" w:cs="宋体"/>
                <w:szCs w:val="21"/>
              </w:rPr>
            </w:pPr>
          </w:p>
        </w:tc>
        <w:tc>
          <w:tcPr>
            <w:tcW w:w="1570" w:type="dxa"/>
            <w:vAlign w:val="center"/>
          </w:tcPr>
          <w:p w14:paraId="6F1B1C98">
            <w:pPr>
              <w:jc w:val="center"/>
              <w:rPr>
                <w:rFonts w:ascii="宋体" w:hAnsi="宋体" w:cs="宋体"/>
                <w:szCs w:val="21"/>
              </w:rPr>
            </w:pPr>
          </w:p>
        </w:tc>
        <w:tc>
          <w:tcPr>
            <w:tcW w:w="1570" w:type="dxa"/>
            <w:vAlign w:val="center"/>
          </w:tcPr>
          <w:p w14:paraId="2BA1E86E">
            <w:pPr>
              <w:jc w:val="center"/>
              <w:rPr>
                <w:rFonts w:ascii="宋体" w:hAnsi="宋体" w:cs="宋体"/>
                <w:szCs w:val="21"/>
              </w:rPr>
            </w:pPr>
          </w:p>
        </w:tc>
        <w:tc>
          <w:tcPr>
            <w:tcW w:w="1570" w:type="dxa"/>
            <w:vAlign w:val="center"/>
          </w:tcPr>
          <w:p w14:paraId="6833F805">
            <w:pPr>
              <w:jc w:val="center"/>
              <w:rPr>
                <w:rFonts w:ascii="宋体" w:hAnsi="宋体" w:cs="宋体"/>
                <w:szCs w:val="21"/>
              </w:rPr>
            </w:pPr>
          </w:p>
        </w:tc>
        <w:tc>
          <w:tcPr>
            <w:tcW w:w="1570" w:type="dxa"/>
            <w:vAlign w:val="center"/>
          </w:tcPr>
          <w:p w14:paraId="59835D7F">
            <w:pPr>
              <w:jc w:val="center"/>
              <w:rPr>
                <w:rFonts w:ascii="宋体" w:hAnsi="宋体" w:cs="宋体"/>
                <w:szCs w:val="21"/>
              </w:rPr>
            </w:pPr>
          </w:p>
        </w:tc>
        <w:tc>
          <w:tcPr>
            <w:tcW w:w="2249" w:type="dxa"/>
            <w:vAlign w:val="center"/>
          </w:tcPr>
          <w:p w14:paraId="04CD9FA2">
            <w:pPr>
              <w:jc w:val="center"/>
              <w:rPr>
                <w:rFonts w:ascii="宋体" w:hAnsi="宋体" w:cs="宋体"/>
                <w:szCs w:val="21"/>
              </w:rPr>
            </w:pPr>
          </w:p>
        </w:tc>
      </w:tr>
      <w:tr w14:paraId="16939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4DBBD2F3">
            <w:pPr>
              <w:jc w:val="center"/>
              <w:rPr>
                <w:rFonts w:ascii="宋体" w:hAnsi="宋体" w:cs="宋体"/>
                <w:szCs w:val="21"/>
              </w:rPr>
            </w:pPr>
          </w:p>
        </w:tc>
        <w:tc>
          <w:tcPr>
            <w:tcW w:w="1570" w:type="dxa"/>
            <w:vAlign w:val="center"/>
          </w:tcPr>
          <w:p w14:paraId="0D5DC3C8">
            <w:pPr>
              <w:jc w:val="center"/>
              <w:rPr>
                <w:rFonts w:ascii="宋体" w:hAnsi="宋体" w:cs="宋体"/>
                <w:szCs w:val="21"/>
              </w:rPr>
            </w:pPr>
          </w:p>
        </w:tc>
        <w:tc>
          <w:tcPr>
            <w:tcW w:w="1570" w:type="dxa"/>
            <w:vAlign w:val="center"/>
          </w:tcPr>
          <w:p w14:paraId="79F1A5A6">
            <w:pPr>
              <w:jc w:val="center"/>
              <w:rPr>
                <w:rFonts w:ascii="宋体" w:hAnsi="宋体" w:cs="宋体"/>
                <w:szCs w:val="21"/>
              </w:rPr>
            </w:pPr>
          </w:p>
        </w:tc>
        <w:tc>
          <w:tcPr>
            <w:tcW w:w="1570" w:type="dxa"/>
            <w:vAlign w:val="center"/>
          </w:tcPr>
          <w:p w14:paraId="111A987C">
            <w:pPr>
              <w:jc w:val="center"/>
              <w:rPr>
                <w:rFonts w:ascii="宋体" w:hAnsi="宋体" w:cs="宋体"/>
                <w:szCs w:val="21"/>
              </w:rPr>
            </w:pPr>
          </w:p>
        </w:tc>
        <w:tc>
          <w:tcPr>
            <w:tcW w:w="1570" w:type="dxa"/>
            <w:vAlign w:val="center"/>
          </w:tcPr>
          <w:p w14:paraId="78F326F7">
            <w:pPr>
              <w:jc w:val="center"/>
              <w:rPr>
                <w:rFonts w:ascii="宋体" w:hAnsi="宋体" w:cs="宋体"/>
                <w:szCs w:val="21"/>
              </w:rPr>
            </w:pPr>
          </w:p>
        </w:tc>
        <w:tc>
          <w:tcPr>
            <w:tcW w:w="2249" w:type="dxa"/>
            <w:vAlign w:val="center"/>
          </w:tcPr>
          <w:p w14:paraId="642334AD">
            <w:pPr>
              <w:jc w:val="center"/>
              <w:rPr>
                <w:rFonts w:ascii="宋体" w:hAnsi="宋体" w:cs="宋体"/>
                <w:szCs w:val="21"/>
              </w:rPr>
            </w:pPr>
          </w:p>
        </w:tc>
      </w:tr>
      <w:tr w14:paraId="5DD2F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5CEC8286">
            <w:pPr>
              <w:jc w:val="center"/>
              <w:rPr>
                <w:rFonts w:ascii="宋体" w:hAnsi="宋体" w:cs="宋体"/>
                <w:szCs w:val="21"/>
              </w:rPr>
            </w:pPr>
          </w:p>
        </w:tc>
        <w:tc>
          <w:tcPr>
            <w:tcW w:w="1570" w:type="dxa"/>
            <w:vAlign w:val="center"/>
          </w:tcPr>
          <w:p w14:paraId="436394DF">
            <w:pPr>
              <w:jc w:val="center"/>
              <w:rPr>
                <w:rFonts w:ascii="宋体" w:hAnsi="宋体" w:cs="宋体"/>
                <w:szCs w:val="21"/>
              </w:rPr>
            </w:pPr>
          </w:p>
        </w:tc>
        <w:tc>
          <w:tcPr>
            <w:tcW w:w="1570" w:type="dxa"/>
            <w:vAlign w:val="center"/>
          </w:tcPr>
          <w:p w14:paraId="00D3FCCB">
            <w:pPr>
              <w:jc w:val="center"/>
              <w:rPr>
                <w:rFonts w:ascii="宋体" w:hAnsi="宋体" w:cs="宋体"/>
                <w:szCs w:val="21"/>
              </w:rPr>
            </w:pPr>
          </w:p>
        </w:tc>
        <w:tc>
          <w:tcPr>
            <w:tcW w:w="1570" w:type="dxa"/>
            <w:vAlign w:val="center"/>
          </w:tcPr>
          <w:p w14:paraId="28209202">
            <w:pPr>
              <w:jc w:val="center"/>
              <w:rPr>
                <w:rFonts w:ascii="宋体" w:hAnsi="宋体" w:cs="宋体"/>
                <w:szCs w:val="21"/>
              </w:rPr>
            </w:pPr>
          </w:p>
        </w:tc>
        <w:tc>
          <w:tcPr>
            <w:tcW w:w="1570" w:type="dxa"/>
            <w:vAlign w:val="center"/>
          </w:tcPr>
          <w:p w14:paraId="4EF9C061">
            <w:pPr>
              <w:jc w:val="center"/>
              <w:rPr>
                <w:rFonts w:ascii="宋体" w:hAnsi="宋体" w:cs="宋体"/>
                <w:szCs w:val="21"/>
              </w:rPr>
            </w:pPr>
          </w:p>
        </w:tc>
        <w:tc>
          <w:tcPr>
            <w:tcW w:w="2249" w:type="dxa"/>
            <w:vAlign w:val="center"/>
          </w:tcPr>
          <w:p w14:paraId="3983BEE1">
            <w:pPr>
              <w:jc w:val="center"/>
              <w:rPr>
                <w:rFonts w:ascii="宋体" w:hAnsi="宋体" w:cs="宋体"/>
                <w:szCs w:val="21"/>
              </w:rPr>
            </w:pPr>
          </w:p>
        </w:tc>
      </w:tr>
      <w:tr w14:paraId="29276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5B0B0DAC">
            <w:pPr>
              <w:jc w:val="center"/>
              <w:rPr>
                <w:rFonts w:ascii="宋体" w:hAnsi="宋体" w:cs="宋体"/>
                <w:szCs w:val="21"/>
              </w:rPr>
            </w:pPr>
          </w:p>
        </w:tc>
        <w:tc>
          <w:tcPr>
            <w:tcW w:w="1570" w:type="dxa"/>
            <w:vAlign w:val="center"/>
          </w:tcPr>
          <w:p w14:paraId="63AFB46F">
            <w:pPr>
              <w:jc w:val="center"/>
              <w:rPr>
                <w:rFonts w:ascii="宋体" w:hAnsi="宋体" w:cs="宋体"/>
                <w:szCs w:val="21"/>
              </w:rPr>
            </w:pPr>
          </w:p>
        </w:tc>
        <w:tc>
          <w:tcPr>
            <w:tcW w:w="1570" w:type="dxa"/>
            <w:vAlign w:val="center"/>
          </w:tcPr>
          <w:p w14:paraId="06FEF08D">
            <w:pPr>
              <w:jc w:val="center"/>
              <w:rPr>
                <w:rFonts w:ascii="宋体" w:hAnsi="宋体" w:cs="宋体"/>
                <w:szCs w:val="21"/>
              </w:rPr>
            </w:pPr>
          </w:p>
        </w:tc>
        <w:tc>
          <w:tcPr>
            <w:tcW w:w="1570" w:type="dxa"/>
            <w:vAlign w:val="center"/>
          </w:tcPr>
          <w:p w14:paraId="02EF999B">
            <w:pPr>
              <w:jc w:val="center"/>
              <w:rPr>
                <w:rFonts w:ascii="宋体" w:hAnsi="宋体" w:cs="宋体"/>
                <w:szCs w:val="21"/>
              </w:rPr>
            </w:pPr>
          </w:p>
        </w:tc>
        <w:tc>
          <w:tcPr>
            <w:tcW w:w="1570" w:type="dxa"/>
            <w:vAlign w:val="center"/>
          </w:tcPr>
          <w:p w14:paraId="53D3AC31">
            <w:pPr>
              <w:jc w:val="center"/>
              <w:rPr>
                <w:rFonts w:ascii="宋体" w:hAnsi="宋体" w:cs="宋体"/>
                <w:szCs w:val="21"/>
              </w:rPr>
            </w:pPr>
          </w:p>
        </w:tc>
        <w:tc>
          <w:tcPr>
            <w:tcW w:w="2249" w:type="dxa"/>
            <w:vAlign w:val="center"/>
          </w:tcPr>
          <w:p w14:paraId="2F2A3473">
            <w:pPr>
              <w:jc w:val="center"/>
              <w:rPr>
                <w:rFonts w:ascii="宋体" w:hAnsi="宋体" w:cs="宋体"/>
                <w:szCs w:val="21"/>
              </w:rPr>
            </w:pPr>
          </w:p>
        </w:tc>
      </w:tr>
      <w:tr w14:paraId="11483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2FD1C82C">
            <w:pPr>
              <w:jc w:val="center"/>
              <w:rPr>
                <w:rFonts w:ascii="宋体" w:hAnsi="宋体" w:cs="宋体"/>
                <w:szCs w:val="21"/>
              </w:rPr>
            </w:pPr>
          </w:p>
        </w:tc>
        <w:tc>
          <w:tcPr>
            <w:tcW w:w="1570" w:type="dxa"/>
            <w:vAlign w:val="center"/>
          </w:tcPr>
          <w:p w14:paraId="07BDCC5E">
            <w:pPr>
              <w:jc w:val="center"/>
              <w:rPr>
                <w:rFonts w:ascii="宋体" w:hAnsi="宋体" w:cs="宋体"/>
                <w:szCs w:val="21"/>
              </w:rPr>
            </w:pPr>
          </w:p>
        </w:tc>
        <w:tc>
          <w:tcPr>
            <w:tcW w:w="1570" w:type="dxa"/>
            <w:vAlign w:val="center"/>
          </w:tcPr>
          <w:p w14:paraId="097289C4">
            <w:pPr>
              <w:jc w:val="center"/>
              <w:rPr>
                <w:rFonts w:ascii="宋体" w:hAnsi="宋体" w:cs="宋体"/>
                <w:szCs w:val="21"/>
              </w:rPr>
            </w:pPr>
          </w:p>
        </w:tc>
        <w:tc>
          <w:tcPr>
            <w:tcW w:w="1570" w:type="dxa"/>
            <w:vAlign w:val="center"/>
          </w:tcPr>
          <w:p w14:paraId="67403E59">
            <w:pPr>
              <w:jc w:val="center"/>
              <w:rPr>
                <w:rFonts w:ascii="宋体" w:hAnsi="宋体" w:cs="宋体"/>
                <w:szCs w:val="21"/>
              </w:rPr>
            </w:pPr>
          </w:p>
        </w:tc>
        <w:tc>
          <w:tcPr>
            <w:tcW w:w="1570" w:type="dxa"/>
            <w:vAlign w:val="center"/>
          </w:tcPr>
          <w:p w14:paraId="0E37BB0A">
            <w:pPr>
              <w:jc w:val="center"/>
              <w:rPr>
                <w:rFonts w:ascii="宋体" w:hAnsi="宋体" w:cs="宋体"/>
                <w:szCs w:val="21"/>
              </w:rPr>
            </w:pPr>
          </w:p>
        </w:tc>
        <w:tc>
          <w:tcPr>
            <w:tcW w:w="2249" w:type="dxa"/>
            <w:vAlign w:val="center"/>
          </w:tcPr>
          <w:p w14:paraId="4BDA1AD1">
            <w:pPr>
              <w:jc w:val="center"/>
              <w:rPr>
                <w:rFonts w:ascii="宋体" w:hAnsi="宋体" w:cs="宋体"/>
                <w:szCs w:val="21"/>
              </w:rPr>
            </w:pPr>
          </w:p>
        </w:tc>
      </w:tr>
      <w:tr w14:paraId="48552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6910BBA7">
            <w:pPr>
              <w:jc w:val="center"/>
              <w:rPr>
                <w:rFonts w:ascii="宋体" w:hAnsi="宋体" w:cs="宋体"/>
                <w:szCs w:val="21"/>
              </w:rPr>
            </w:pPr>
          </w:p>
        </w:tc>
        <w:tc>
          <w:tcPr>
            <w:tcW w:w="1570" w:type="dxa"/>
            <w:vAlign w:val="center"/>
          </w:tcPr>
          <w:p w14:paraId="296E8380">
            <w:pPr>
              <w:jc w:val="center"/>
              <w:rPr>
                <w:rFonts w:ascii="宋体" w:hAnsi="宋体" w:cs="宋体"/>
                <w:szCs w:val="21"/>
              </w:rPr>
            </w:pPr>
          </w:p>
        </w:tc>
        <w:tc>
          <w:tcPr>
            <w:tcW w:w="1570" w:type="dxa"/>
            <w:vAlign w:val="center"/>
          </w:tcPr>
          <w:p w14:paraId="512AC332">
            <w:pPr>
              <w:jc w:val="center"/>
              <w:rPr>
                <w:rFonts w:ascii="宋体" w:hAnsi="宋体" w:cs="宋体"/>
                <w:szCs w:val="21"/>
              </w:rPr>
            </w:pPr>
          </w:p>
        </w:tc>
        <w:tc>
          <w:tcPr>
            <w:tcW w:w="1570" w:type="dxa"/>
            <w:vAlign w:val="center"/>
          </w:tcPr>
          <w:p w14:paraId="1BC3E362">
            <w:pPr>
              <w:jc w:val="center"/>
              <w:rPr>
                <w:rFonts w:ascii="宋体" w:hAnsi="宋体" w:cs="宋体"/>
                <w:szCs w:val="21"/>
              </w:rPr>
            </w:pPr>
          </w:p>
        </w:tc>
        <w:tc>
          <w:tcPr>
            <w:tcW w:w="1570" w:type="dxa"/>
            <w:vAlign w:val="center"/>
          </w:tcPr>
          <w:p w14:paraId="6225CFAE">
            <w:pPr>
              <w:jc w:val="center"/>
              <w:rPr>
                <w:rFonts w:ascii="宋体" w:hAnsi="宋体" w:cs="宋体"/>
                <w:szCs w:val="21"/>
              </w:rPr>
            </w:pPr>
          </w:p>
        </w:tc>
        <w:tc>
          <w:tcPr>
            <w:tcW w:w="2249" w:type="dxa"/>
            <w:vAlign w:val="center"/>
          </w:tcPr>
          <w:p w14:paraId="5C79CE3A">
            <w:pPr>
              <w:jc w:val="center"/>
              <w:rPr>
                <w:rFonts w:ascii="宋体" w:hAnsi="宋体" w:cs="宋体"/>
                <w:szCs w:val="21"/>
              </w:rPr>
            </w:pPr>
          </w:p>
        </w:tc>
      </w:tr>
      <w:tr w14:paraId="13CD2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7ACE0D8E">
            <w:pPr>
              <w:jc w:val="center"/>
              <w:rPr>
                <w:rFonts w:ascii="宋体" w:hAnsi="宋体" w:cs="宋体"/>
                <w:szCs w:val="21"/>
              </w:rPr>
            </w:pPr>
          </w:p>
        </w:tc>
        <w:tc>
          <w:tcPr>
            <w:tcW w:w="1570" w:type="dxa"/>
            <w:vAlign w:val="center"/>
          </w:tcPr>
          <w:p w14:paraId="502801C5">
            <w:pPr>
              <w:jc w:val="center"/>
              <w:rPr>
                <w:rFonts w:ascii="宋体" w:hAnsi="宋体" w:cs="宋体"/>
                <w:szCs w:val="21"/>
              </w:rPr>
            </w:pPr>
          </w:p>
        </w:tc>
        <w:tc>
          <w:tcPr>
            <w:tcW w:w="1570" w:type="dxa"/>
            <w:vAlign w:val="center"/>
          </w:tcPr>
          <w:p w14:paraId="5F1142C7">
            <w:pPr>
              <w:jc w:val="center"/>
              <w:rPr>
                <w:rFonts w:ascii="宋体" w:hAnsi="宋体" w:cs="宋体"/>
                <w:szCs w:val="21"/>
              </w:rPr>
            </w:pPr>
          </w:p>
        </w:tc>
        <w:tc>
          <w:tcPr>
            <w:tcW w:w="1570" w:type="dxa"/>
            <w:vAlign w:val="center"/>
          </w:tcPr>
          <w:p w14:paraId="3421C9BD">
            <w:pPr>
              <w:jc w:val="center"/>
              <w:rPr>
                <w:rFonts w:ascii="宋体" w:hAnsi="宋体" w:cs="宋体"/>
                <w:szCs w:val="21"/>
              </w:rPr>
            </w:pPr>
          </w:p>
        </w:tc>
        <w:tc>
          <w:tcPr>
            <w:tcW w:w="1570" w:type="dxa"/>
            <w:vAlign w:val="center"/>
          </w:tcPr>
          <w:p w14:paraId="230E5EB5">
            <w:pPr>
              <w:jc w:val="center"/>
              <w:rPr>
                <w:rFonts w:ascii="宋体" w:hAnsi="宋体" w:cs="宋体"/>
                <w:szCs w:val="21"/>
              </w:rPr>
            </w:pPr>
          </w:p>
        </w:tc>
        <w:tc>
          <w:tcPr>
            <w:tcW w:w="2249" w:type="dxa"/>
            <w:vAlign w:val="center"/>
          </w:tcPr>
          <w:p w14:paraId="438EB920">
            <w:pPr>
              <w:jc w:val="center"/>
              <w:rPr>
                <w:rFonts w:ascii="宋体" w:hAnsi="宋体" w:cs="宋体"/>
                <w:szCs w:val="21"/>
              </w:rPr>
            </w:pPr>
          </w:p>
        </w:tc>
      </w:tr>
      <w:tr w14:paraId="745E0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3FE73929">
            <w:pPr>
              <w:jc w:val="center"/>
              <w:rPr>
                <w:rFonts w:ascii="宋体" w:hAnsi="宋体" w:cs="宋体"/>
                <w:szCs w:val="21"/>
              </w:rPr>
            </w:pPr>
          </w:p>
        </w:tc>
        <w:tc>
          <w:tcPr>
            <w:tcW w:w="1570" w:type="dxa"/>
            <w:vAlign w:val="center"/>
          </w:tcPr>
          <w:p w14:paraId="01137ABA">
            <w:pPr>
              <w:jc w:val="center"/>
              <w:rPr>
                <w:rFonts w:ascii="宋体" w:hAnsi="宋体" w:cs="宋体"/>
                <w:szCs w:val="21"/>
              </w:rPr>
            </w:pPr>
          </w:p>
        </w:tc>
        <w:tc>
          <w:tcPr>
            <w:tcW w:w="1570" w:type="dxa"/>
            <w:vAlign w:val="center"/>
          </w:tcPr>
          <w:p w14:paraId="24FC1C09">
            <w:pPr>
              <w:jc w:val="center"/>
              <w:rPr>
                <w:rFonts w:ascii="宋体" w:hAnsi="宋体" w:cs="宋体"/>
                <w:szCs w:val="21"/>
              </w:rPr>
            </w:pPr>
          </w:p>
        </w:tc>
        <w:tc>
          <w:tcPr>
            <w:tcW w:w="1570" w:type="dxa"/>
            <w:vAlign w:val="center"/>
          </w:tcPr>
          <w:p w14:paraId="1A7E877E">
            <w:pPr>
              <w:jc w:val="center"/>
              <w:rPr>
                <w:rFonts w:ascii="宋体" w:hAnsi="宋体" w:cs="宋体"/>
                <w:szCs w:val="21"/>
              </w:rPr>
            </w:pPr>
          </w:p>
        </w:tc>
        <w:tc>
          <w:tcPr>
            <w:tcW w:w="1570" w:type="dxa"/>
            <w:vAlign w:val="center"/>
          </w:tcPr>
          <w:p w14:paraId="430A7B59">
            <w:pPr>
              <w:jc w:val="center"/>
              <w:rPr>
                <w:rFonts w:ascii="宋体" w:hAnsi="宋体" w:cs="宋体"/>
                <w:szCs w:val="21"/>
              </w:rPr>
            </w:pPr>
          </w:p>
        </w:tc>
        <w:tc>
          <w:tcPr>
            <w:tcW w:w="2249" w:type="dxa"/>
            <w:vAlign w:val="center"/>
          </w:tcPr>
          <w:p w14:paraId="2BEFDD11">
            <w:pPr>
              <w:jc w:val="center"/>
              <w:rPr>
                <w:rFonts w:ascii="宋体" w:hAnsi="宋体" w:cs="宋体"/>
                <w:szCs w:val="21"/>
              </w:rPr>
            </w:pPr>
          </w:p>
        </w:tc>
      </w:tr>
      <w:tr w14:paraId="0BAAF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6D1795DF">
            <w:pPr>
              <w:jc w:val="center"/>
              <w:rPr>
                <w:rFonts w:ascii="宋体" w:hAnsi="宋体" w:cs="宋体"/>
                <w:szCs w:val="21"/>
              </w:rPr>
            </w:pPr>
          </w:p>
        </w:tc>
        <w:tc>
          <w:tcPr>
            <w:tcW w:w="1570" w:type="dxa"/>
            <w:vAlign w:val="center"/>
          </w:tcPr>
          <w:p w14:paraId="50973953">
            <w:pPr>
              <w:jc w:val="center"/>
              <w:rPr>
                <w:rFonts w:ascii="宋体" w:hAnsi="宋体" w:cs="宋体"/>
                <w:szCs w:val="21"/>
              </w:rPr>
            </w:pPr>
          </w:p>
        </w:tc>
        <w:tc>
          <w:tcPr>
            <w:tcW w:w="1570" w:type="dxa"/>
            <w:vAlign w:val="center"/>
          </w:tcPr>
          <w:p w14:paraId="5252814B">
            <w:pPr>
              <w:jc w:val="center"/>
              <w:rPr>
                <w:rFonts w:ascii="宋体" w:hAnsi="宋体" w:cs="宋体"/>
                <w:szCs w:val="21"/>
              </w:rPr>
            </w:pPr>
          </w:p>
        </w:tc>
        <w:tc>
          <w:tcPr>
            <w:tcW w:w="1570" w:type="dxa"/>
            <w:vAlign w:val="center"/>
          </w:tcPr>
          <w:p w14:paraId="3F1E2B91">
            <w:pPr>
              <w:jc w:val="center"/>
              <w:rPr>
                <w:rFonts w:ascii="宋体" w:hAnsi="宋体" w:cs="宋体"/>
                <w:szCs w:val="21"/>
              </w:rPr>
            </w:pPr>
          </w:p>
        </w:tc>
        <w:tc>
          <w:tcPr>
            <w:tcW w:w="1570" w:type="dxa"/>
            <w:vAlign w:val="center"/>
          </w:tcPr>
          <w:p w14:paraId="59284FF7">
            <w:pPr>
              <w:jc w:val="center"/>
              <w:rPr>
                <w:rFonts w:ascii="宋体" w:hAnsi="宋体" w:cs="宋体"/>
                <w:szCs w:val="21"/>
              </w:rPr>
            </w:pPr>
          </w:p>
        </w:tc>
        <w:tc>
          <w:tcPr>
            <w:tcW w:w="2249" w:type="dxa"/>
            <w:vAlign w:val="center"/>
          </w:tcPr>
          <w:p w14:paraId="09B77F6C">
            <w:pPr>
              <w:jc w:val="center"/>
              <w:rPr>
                <w:rFonts w:ascii="宋体" w:hAnsi="宋体" w:cs="宋体"/>
                <w:szCs w:val="21"/>
              </w:rPr>
            </w:pPr>
          </w:p>
        </w:tc>
      </w:tr>
      <w:tr w14:paraId="0889B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72BEB618">
            <w:pPr>
              <w:jc w:val="center"/>
              <w:rPr>
                <w:rFonts w:ascii="宋体" w:hAnsi="宋体" w:cs="宋体"/>
                <w:szCs w:val="21"/>
              </w:rPr>
            </w:pPr>
          </w:p>
        </w:tc>
        <w:tc>
          <w:tcPr>
            <w:tcW w:w="1570" w:type="dxa"/>
            <w:vAlign w:val="center"/>
          </w:tcPr>
          <w:p w14:paraId="1FCE37D6">
            <w:pPr>
              <w:jc w:val="center"/>
              <w:rPr>
                <w:rFonts w:ascii="宋体" w:hAnsi="宋体" w:cs="宋体"/>
                <w:szCs w:val="21"/>
              </w:rPr>
            </w:pPr>
          </w:p>
        </w:tc>
        <w:tc>
          <w:tcPr>
            <w:tcW w:w="1570" w:type="dxa"/>
            <w:vAlign w:val="center"/>
          </w:tcPr>
          <w:p w14:paraId="12E3780A">
            <w:pPr>
              <w:jc w:val="center"/>
              <w:rPr>
                <w:rFonts w:ascii="宋体" w:hAnsi="宋体" w:cs="宋体"/>
                <w:szCs w:val="21"/>
              </w:rPr>
            </w:pPr>
          </w:p>
        </w:tc>
        <w:tc>
          <w:tcPr>
            <w:tcW w:w="1570" w:type="dxa"/>
            <w:vAlign w:val="center"/>
          </w:tcPr>
          <w:p w14:paraId="1B9AB9C4">
            <w:pPr>
              <w:jc w:val="center"/>
              <w:rPr>
                <w:rFonts w:ascii="宋体" w:hAnsi="宋体" w:cs="宋体"/>
                <w:szCs w:val="21"/>
              </w:rPr>
            </w:pPr>
          </w:p>
        </w:tc>
        <w:tc>
          <w:tcPr>
            <w:tcW w:w="1570" w:type="dxa"/>
            <w:vAlign w:val="center"/>
          </w:tcPr>
          <w:p w14:paraId="48707E69">
            <w:pPr>
              <w:jc w:val="center"/>
              <w:rPr>
                <w:rFonts w:ascii="宋体" w:hAnsi="宋体" w:cs="宋体"/>
                <w:szCs w:val="21"/>
              </w:rPr>
            </w:pPr>
          </w:p>
        </w:tc>
        <w:tc>
          <w:tcPr>
            <w:tcW w:w="2249" w:type="dxa"/>
            <w:vAlign w:val="center"/>
          </w:tcPr>
          <w:p w14:paraId="19347F26">
            <w:pPr>
              <w:jc w:val="center"/>
              <w:rPr>
                <w:rFonts w:ascii="宋体" w:hAnsi="宋体" w:cs="宋体"/>
                <w:szCs w:val="21"/>
              </w:rPr>
            </w:pPr>
          </w:p>
        </w:tc>
      </w:tr>
      <w:tr w14:paraId="0565C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1F130D75">
            <w:pPr>
              <w:jc w:val="center"/>
              <w:rPr>
                <w:rFonts w:ascii="宋体" w:hAnsi="宋体" w:cs="宋体"/>
                <w:szCs w:val="21"/>
              </w:rPr>
            </w:pPr>
          </w:p>
        </w:tc>
        <w:tc>
          <w:tcPr>
            <w:tcW w:w="1570" w:type="dxa"/>
            <w:vAlign w:val="center"/>
          </w:tcPr>
          <w:p w14:paraId="48CE9ACE">
            <w:pPr>
              <w:jc w:val="center"/>
              <w:rPr>
                <w:rFonts w:ascii="宋体" w:hAnsi="宋体" w:cs="宋体"/>
                <w:szCs w:val="21"/>
              </w:rPr>
            </w:pPr>
          </w:p>
        </w:tc>
        <w:tc>
          <w:tcPr>
            <w:tcW w:w="1570" w:type="dxa"/>
            <w:vAlign w:val="center"/>
          </w:tcPr>
          <w:p w14:paraId="77C22514">
            <w:pPr>
              <w:jc w:val="center"/>
              <w:rPr>
                <w:rFonts w:ascii="宋体" w:hAnsi="宋体" w:cs="宋体"/>
                <w:szCs w:val="21"/>
              </w:rPr>
            </w:pPr>
          </w:p>
        </w:tc>
        <w:tc>
          <w:tcPr>
            <w:tcW w:w="1570" w:type="dxa"/>
            <w:vAlign w:val="center"/>
          </w:tcPr>
          <w:p w14:paraId="309ECE82">
            <w:pPr>
              <w:jc w:val="center"/>
              <w:rPr>
                <w:rFonts w:ascii="宋体" w:hAnsi="宋体" w:cs="宋体"/>
                <w:szCs w:val="21"/>
              </w:rPr>
            </w:pPr>
          </w:p>
        </w:tc>
        <w:tc>
          <w:tcPr>
            <w:tcW w:w="1570" w:type="dxa"/>
            <w:vAlign w:val="center"/>
          </w:tcPr>
          <w:p w14:paraId="2B3174A1">
            <w:pPr>
              <w:jc w:val="center"/>
              <w:rPr>
                <w:rFonts w:ascii="宋体" w:hAnsi="宋体" w:cs="宋体"/>
                <w:szCs w:val="21"/>
              </w:rPr>
            </w:pPr>
          </w:p>
        </w:tc>
        <w:tc>
          <w:tcPr>
            <w:tcW w:w="2249" w:type="dxa"/>
            <w:vAlign w:val="center"/>
          </w:tcPr>
          <w:p w14:paraId="2988CF7C">
            <w:pPr>
              <w:jc w:val="center"/>
              <w:rPr>
                <w:rFonts w:ascii="宋体" w:hAnsi="宋体" w:cs="宋体"/>
                <w:szCs w:val="21"/>
              </w:rPr>
            </w:pPr>
          </w:p>
        </w:tc>
      </w:tr>
      <w:tr w14:paraId="57235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20265C4F">
            <w:pPr>
              <w:jc w:val="center"/>
              <w:rPr>
                <w:rFonts w:ascii="宋体" w:hAnsi="宋体" w:cs="宋体"/>
                <w:szCs w:val="21"/>
              </w:rPr>
            </w:pPr>
          </w:p>
        </w:tc>
        <w:tc>
          <w:tcPr>
            <w:tcW w:w="1570" w:type="dxa"/>
            <w:vAlign w:val="center"/>
          </w:tcPr>
          <w:p w14:paraId="2A7A59D9">
            <w:pPr>
              <w:jc w:val="center"/>
              <w:rPr>
                <w:rFonts w:ascii="宋体" w:hAnsi="宋体" w:cs="宋体"/>
                <w:szCs w:val="21"/>
              </w:rPr>
            </w:pPr>
          </w:p>
        </w:tc>
        <w:tc>
          <w:tcPr>
            <w:tcW w:w="1570" w:type="dxa"/>
            <w:vAlign w:val="center"/>
          </w:tcPr>
          <w:p w14:paraId="7F6CE156">
            <w:pPr>
              <w:jc w:val="center"/>
              <w:rPr>
                <w:rFonts w:ascii="宋体" w:hAnsi="宋体" w:cs="宋体"/>
                <w:szCs w:val="21"/>
              </w:rPr>
            </w:pPr>
          </w:p>
        </w:tc>
        <w:tc>
          <w:tcPr>
            <w:tcW w:w="1570" w:type="dxa"/>
            <w:vAlign w:val="center"/>
          </w:tcPr>
          <w:p w14:paraId="40FBA6B9">
            <w:pPr>
              <w:jc w:val="center"/>
              <w:rPr>
                <w:rFonts w:ascii="宋体" w:hAnsi="宋体" w:cs="宋体"/>
                <w:szCs w:val="21"/>
              </w:rPr>
            </w:pPr>
          </w:p>
        </w:tc>
        <w:tc>
          <w:tcPr>
            <w:tcW w:w="1570" w:type="dxa"/>
            <w:vAlign w:val="center"/>
          </w:tcPr>
          <w:p w14:paraId="1473AC11">
            <w:pPr>
              <w:jc w:val="center"/>
              <w:rPr>
                <w:rFonts w:ascii="宋体" w:hAnsi="宋体" w:cs="宋体"/>
                <w:szCs w:val="21"/>
              </w:rPr>
            </w:pPr>
          </w:p>
        </w:tc>
        <w:tc>
          <w:tcPr>
            <w:tcW w:w="2249" w:type="dxa"/>
            <w:vAlign w:val="center"/>
          </w:tcPr>
          <w:p w14:paraId="3171F683">
            <w:pPr>
              <w:jc w:val="center"/>
              <w:rPr>
                <w:rFonts w:ascii="宋体" w:hAnsi="宋体" w:cs="宋体"/>
                <w:szCs w:val="21"/>
              </w:rPr>
            </w:pPr>
          </w:p>
        </w:tc>
      </w:tr>
      <w:tr w14:paraId="77273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0154BF5E">
            <w:pPr>
              <w:jc w:val="center"/>
              <w:rPr>
                <w:rFonts w:ascii="宋体" w:hAnsi="宋体" w:cs="宋体"/>
                <w:szCs w:val="21"/>
              </w:rPr>
            </w:pPr>
          </w:p>
        </w:tc>
        <w:tc>
          <w:tcPr>
            <w:tcW w:w="1570" w:type="dxa"/>
            <w:vAlign w:val="center"/>
          </w:tcPr>
          <w:p w14:paraId="7AF25626">
            <w:pPr>
              <w:jc w:val="center"/>
              <w:rPr>
                <w:rFonts w:ascii="宋体" w:hAnsi="宋体" w:cs="宋体"/>
                <w:szCs w:val="21"/>
              </w:rPr>
            </w:pPr>
          </w:p>
        </w:tc>
        <w:tc>
          <w:tcPr>
            <w:tcW w:w="1570" w:type="dxa"/>
            <w:vAlign w:val="center"/>
          </w:tcPr>
          <w:p w14:paraId="0D016893">
            <w:pPr>
              <w:jc w:val="center"/>
              <w:rPr>
                <w:rFonts w:ascii="宋体" w:hAnsi="宋体" w:cs="宋体"/>
                <w:szCs w:val="21"/>
              </w:rPr>
            </w:pPr>
          </w:p>
        </w:tc>
        <w:tc>
          <w:tcPr>
            <w:tcW w:w="1570" w:type="dxa"/>
            <w:vAlign w:val="center"/>
          </w:tcPr>
          <w:p w14:paraId="537D7520">
            <w:pPr>
              <w:jc w:val="center"/>
              <w:rPr>
                <w:rFonts w:ascii="宋体" w:hAnsi="宋体" w:cs="宋体"/>
                <w:szCs w:val="21"/>
              </w:rPr>
            </w:pPr>
          </w:p>
        </w:tc>
        <w:tc>
          <w:tcPr>
            <w:tcW w:w="1570" w:type="dxa"/>
            <w:vAlign w:val="center"/>
          </w:tcPr>
          <w:p w14:paraId="5F29DD17">
            <w:pPr>
              <w:jc w:val="center"/>
              <w:rPr>
                <w:rFonts w:ascii="宋体" w:hAnsi="宋体" w:cs="宋体"/>
                <w:szCs w:val="21"/>
              </w:rPr>
            </w:pPr>
          </w:p>
        </w:tc>
        <w:tc>
          <w:tcPr>
            <w:tcW w:w="2249" w:type="dxa"/>
            <w:vAlign w:val="center"/>
          </w:tcPr>
          <w:p w14:paraId="796A21B5">
            <w:pPr>
              <w:jc w:val="center"/>
              <w:rPr>
                <w:rFonts w:ascii="宋体" w:hAnsi="宋体" w:cs="宋体"/>
                <w:szCs w:val="21"/>
              </w:rPr>
            </w:pPr>
          </w:p>
        </w:tc>
      </w:tr>
      <w:tr w14:paraId="32035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4FC1EEF3">
            <w:pPr>
              <w:jc w:val="center"/>
              <w:rPr>
                <w:rFonts w:ascii="宋体" w:hAnsi="宋体" w:cs="宋体"/>
                <w:szCs w:val="21"/>
              </w:rPr>
            </w:pPr>
          </w:p>
        </w:tc>
        <w:tc>
          <w:tcPr>
            <w:tcW w:w="1570" w:type="dxa"/>
            <w:vAlign w:val="center"/>
          </w:tcPr>
          <w:p w14:paraId="7E98F17E">
            <w:pPr>
              <w:jc w:val="center"/>
              <w:rPr>
                <w:rFonts w:ascii="宋体" w:hAnsi="宋体" w:cs="宋体"/>
                <w:szCs w:val="21"/>
              </w:rPr>
            </w:pPr>
          </w:p>
        </w:tc>
        <w:tc>
          <w:tcPr>
            <w:tcW w:w="1570" w:type="dxa"/>
            <w:vAlign w:val="center"/>
          </w:tcPr>
          <w:p w14:paraId="4DDC48A7">
            <w:pPr>
              <w:jc w:val="center"/>
              <w:rPr>
                <w:rFonts w:ascii="宋体" w:hAnsi="宋体" w:cs="宋体"/>
                <w:szCs w:val="21"/>
              </w:rPr>
            </w:pPr>
          </w:p>
        </w:tc>
        <w:tc>
          <w:tcPr>
            <w:tcW w:w="1570" w:type="dxa"/>
            <w:vAlign w:val="center"/>
          </w:tcPr>
          <w:p w14:paraId="56C4C992">
            <w:pPr>
              <w:jc w:val="center"/>
              <w:rPr>
                <w:rFonts w:ascii="宋体" w:hAnsi="宋体" w:cs="宋体"/>
                <w:szCs w:val="21"/>
              </w:rPr>
            </w:pPr>
          </w:p>
        </w:tc>
        <w:tc>
          <w:tcPr>
            <w:tcW w:w="1570" w:type="dxa"/>
            <w:vAlign w:val="center"/>
          </w:tcPr>
          <w:p w14:paraId="2C6AA182">
            <w:pPr>
              <w:jc w:val="center"/>
              <w:rPr>
                <w:rFonts w:ascii="宋体" w:hAnsi="宋体" w:cs="宋体"/>
                <w:szCs w:val="21"/>
              </w:rPr>
            </w:pPr>
          </w:p>
        </w:tc>
        <w:tc>
          <w:tcPr>
            <w:tcW w:w="2249" w:type="dxa"/>
            <w:vAlign w:val="center"/>
          </w:tcPr>
          <w:p w14:paraId="36E4DBC4">
            <w:pPr>
              <w:jc w:val="center"/>
              <w:rPr>
                <w:rFonts w:ascii="宋体" w:hAnsi="宋体" w:cs="宋体"/>
                <w:szCs w:val="21"/>
              </w:rPr>
            </w:pPr>
          </w:p>
        </w:tc>
      </w:tr>
      <w:tr w14:paraId="68829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689C8689">
            <w:pPr>
              <w:jc w:val="center"/>
              <w:rPr>
                <w:rFonts w:ascii="宋体" w:hAnsi="宋体" w:cs="宋体"/>
                <w:szCs w:val="21"/>
              </w:rPr>
            </w:pPr>
          </w:p>
        </w:tc>
        <w:tc>
          <w:tcPr>
            <w:tcW w:w="1570" w:type="dxa"/>
            <w:vAlign w:val="center"/>
          </w:tcPr>
          <w:p w14:paraId="308BBF45">
            <w:pPr>
              <w:jc w:val="center"/>
              <w:rPr>
                <w:rFonts w:ascii="宋体" w:hAnsi="宋体" w:cs="宋体"/>
                <w:szCs w:val="21"/>
              </w:rPr>
            </w:pPr>
          </w:p>
        </w:tc>
        <w:tc>
          <w:tcPr>
            <w:tcW w:w="1570" w:type="dxa"/>
            <w:vAlign w:val="center"/>
          </w:tcPr>
          <w:p w14:paraId="4BA69611">
            <w:pPr>
              <w:jc w:val="center"/>
              <w:rPr>
                <w:rFonts w:ascii="宋体" w:hAnsi="宋体" w:cs="宋体"/>
                <w:szCs w:val="21"/>
              </w:rPr>
            </w:pPr>
          </w:p>
        </w:tc>
        <w:tc>
          <w:tcPr>
            <w:tcW w:w="1570" w:type="dxa"/>
            <w:vAlign w:val="center"/>
          </w:tcPr>
          <w:p w14:paraId="3952F21A">
            <w:pPr>
              <w:jc w:val="center"/>
              <w:rPr>
                <w:rFonts w:ascii="宋体" w:hAnsi="宋体" w:cs="宋体"/>
                <w:szCs w:val="21"/>
              </w:rPr>
            </w:pPr>
          </w:p>
        </w:tc>
        <w:tc>
          <w:tcPr>
            <w:tcW w:w="1570" w:type="dxa"/>
            <w:vAlign w:val="center"/>
          </w:tcPr>
          <w:p w14:paraId="3B841C08">
            <w:pPr>
              <w:jc w:val="center"/>
              <w:rPr>
                <w:rFonts w:ascii="宋体" w:hAnsi="宋体" w:cs="宋体"/>
                <w:szCs w:val="21"/>
              </w:rPr>
            </w:pPr>
          </w:p>
        </w:tc>
        <w:tc>
          <w:tcPr>
            <w:tcW w:w="2249" w:type="dxa"/>
            <w:vAlign w:val="center"/>
          </w:tcPr>
          <w:p w14:paraId="674A0492">
            <w:pPr>
              <w:jc w:val="center"/>
              <w:rPr>
                <w:rFonts w:ascii="宋体" w:hAnsi="宋体" w:cs="宋体"/>
                <w:szCs w:val="21"/>
              </w:rPr>
            </w:pPr>
          </w:p>
        </w:tc>
      </w:tr>
      <w:tr w14:paraId="4EDFC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53C454B2">
            <w:pPr>
              <w:jc w:val="center"/>
              <w:rPr>
                <w:rFonts w:ascii="宋体" w:hAnsi="宋体" w:cs="宋体"/>
                <w:szCs w:val="21"/>
              </w:rPr>
            </w:pPr>
          </w:p>
        </w:tc>
        <w:tc>
          <w:tcPr>
            <w:tcW w:w="1570" w:type="dxa"/>
            <w:vAlign w:val="center"/>
          </w:tcPr>
          <w:p w14:paraId="2E565FB4">
            <w:pPr>
              <w:jc w:val="center"/>
              <w:rPr>
                <w:rFonts w:ascii="宋体" w:hAnsi="宋体" w:cs="宋体"/>
                <w:szCs w:val="21"/>
              </w:rPr>
            </w:pPr>
          </w:p>
        </w:tc>
        <w:tc>
          <w:tcPr>
            <w:tcW w:w="1570" w:type="dxa"/>
            <w:vAlign w:val="center"/>
          </w:tcPr>
          <w:p w14:paraId="2DB67963">
            <w:pPr>
              <w:jc w:val="center"/>
              <w:rPr>
                <w:rFonts w:ascii="宋体" w:hAnsi="宋体" w:cs="宋体"/>
                <w:szCs w:val="21"/>
              </w:rPr>
            </w:pPr>
          </w:p>
        </w:tc>
        <w:tc>
          <w:tcPr>
            <w:tcW w:w="1570" w:type="dxa"/>
            <w:vAlign w:val="center"/>
          </w:tcPr>
          <w:p w14:paraId="344F515A">
            <w:pPr>
              <w:jc w:val="center"/>
              <w:rPr>
                <w:rFonts w:ascii="宋体" w:hAnsi="宋体" w:cs="宋体"/>
                <w:szCs w:val="21"/>
              </w:rPr>
            </w:pPr>
          </w:p>
        </w:tc>
        <w:tc>
          <w:tcPr>
            <w:tcW w:w="1570" w:type="dxa"/>
            <w:vAlign w:val="center"/>
          </w:tcPr>
          <w:p w14:paraId="17719348">
            <w:pPr>
              <w:jc w:val="center"/>
              <w:rPr>
                <w:rFonts w:ascii="宋体" w:hAnsi="宋体" w:cs="宋体"/>
                <w:szCs w:val="21"/>
              </w:rPr>
            </w:pPr>
          </w:p>
        </w:tc>
        <w:tc>
          <w:tcPr>
            <w:tcW w:w="2249" w:type="dxa"/>
            <w:vAlign w:val="center"/>
          </w:tcPr>
          <w:p w14:paraId="17D649BD">
            <w:pPr>
              <w:jc w:val="center"/>
              <w:rPr>
                <w:rFonts w:ascii="宋体" w:hAnsi="宋体" w:cs="宋体"/>
                <w:szCs w:val="21"/>
              </w:rPr>
            </w:pPr>
          </w:p>
        </w:tc>
      </w:tr>
      <w:tr w14:paraId="36829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70" w:type="dxa"/>
            <w:vAlign w:val="center"/>
          </w:tcPr>
          <w:p w14:paraId="514EFB31">
            <w:pPr>
              <w:jc w:val="center"/>
              <w:rPr>
                <w:rFonts w:ascii="宋体" w:hAnsi="宋体" w:cs="宋体"/>
                <w:szCs w:val="21"/>
              </w:rPr>
            </w:pPr>
          </w:p>
        </w:tc>
        <w:tc>
          <w:tcPr>
            <w:tcW w:w="1570" w:type="dxa"/>
            <w:vAlign w:val="center"/>
          </w:tcPr>
          <w:p w14:paraId="6F483353">
            <w:pPr>
              <w:jc w:val="center"/>
              <w:rPr>
                <w:rFonts w:ascii="宋体" w:hAnsi="宋体" w:cs="宋体"/>
                <w:szCs w:val="21"/>
              </w:rPr>
            </w:pPr>
          </w:p>
        </w:tc>
        <w:tc>
          <w:tcPr>
            <w:tcW w:w="1570" w:type="dxa"/>
            <w:vAlign w:val="center"/>
          </w:tcPr>
          <w:p w14:paraId="65DD353A">
            <w:pPr>
              <w:jc w:val="center"/>
              <w:rPr>
                <w:rFonts w:ascii="宋体" w:hAnsi="宋体" w:cs="宋体"/>
                <w:szCs w:val="21"/>
              </w:rPr>
            </w:pPr>
          </w:p>
        </w:tc>
        <w:tc>
          <w:tcPr>
            <w:tcW w:w="1570" w:type="dxa"/>
            <w:vAlign w:val="center"/>
          </w:tcPr>
          <w:p w14:paraId="5057E425">
            <w:pPr>
              <w:jc w:val="center"/>
              <w:rPr>
                <w:rFonts w:ascii="宋体" w:hAnsi="宋体" w:cs="宋体"/>
                <w:szCs w:val="21"/>
              </w:rPr>
            </w:pPr>
          </w:p>
        </w:tc>
        <w:tc>
          <w:tcPr>
            <w:tcW w:w="1570" w:type="dxa"/>
            <w:vAlign w:val="center"/>
          </w:tcPr>
          <w:p w14:paraId="5BC73A28">
            <w:pPr>
              <w:jc w:val="center"/>
              <w:rPr>
                <w:rFonts w:ascii="宋体" w:hAnsi="宋体" w:cs="宋体"/>
                <w:szCs w:val="21"/>
              </w:rPr>
            </w:pPr>
          </w:p>
        </w:tc>
        <w:tc>
          <w:tcPr>
            <w:tcW w:w="2249" w:type="dxa"/>
            <w:vAlign w:val="center"/>
          </w:tcPr>
          <w:p w14:paraId="581E488D">
            <w:pPr>
              <w:jc w:val="center"/>
              <w:rPr>
                <w:rFonts w:ascii="宋体" w:hAnsi="宋体" w:cs="宋体"/>
                <w:szCs w:val="21"/>
              </w:rPr>
            </w:pPr>
          </w:p>
        </w:tc>
      </w:tr>
    </w:tbl>
    <w:p w14:paraId="55914F1E">
      <w:pPr>
        <w:spacing w:line="400" w:lineRule="exact"/>
      </w:pPr>
      <w:bookmarkStart w:id="558" w:name="_Toc152042573"/>
      <w:bookmarkStart w:id="559" w:name="_Toc179632802"/>
      <w:bookmarkStart w:id="560" w:name="_Toc144974853"/>
      <w:bookmarkStart w:id="561" w:name="_Toc152045784"/>
      <w:bookmarkStart w:id="562" w:name="_Toc9178548"/>
    </w:p>
    <w:p w14:paraId="440B2972">
      <w:pPr>
        <w:spacing w:line="400" w:lineRule="exact"/>
      </w:pPr>
      <w:r>
        <w:rPr>
          <w:rFonts w:hint="eastAsia"/>
        </w:rPr>
        <w:t>2. 图纸</w:t>
      </w:r>
      <w:bookmarkEnd w:id="558"/>
      <w:bookmarkEnd w:id="559"/>
      <w:bookmarkEnd w:id="560"/>
      <w:bookmarkEnd w:id="561"/>
      <w:bookmarkEnd w:id="562"/>
    </w:p>
    <w:p w14:paraId="48AF00EE">
      <w:pPr>
        <w:spacing w:line="400" w:lineRule="exact"/>
      </w:pPr>
    </w:p>
    <w:p w14:paraId="32110259">
      <w:pPr>
        <w:spacing w:line="420" w:lineRule="exact"/>
        <w:jc w:val="center"/>
        <w:rPr>
          <w:rFonts w:eastAsia="楷体_GB2312"/>
        </w:rPr>
      </w:pPr>
      <w:r>
        <w:br w:type="page"/>
      </w:r>
    </w:p>
    <w:p w14:paraId="136A34C5">
      <w:pPr>
        <w:spacing w:line="420" w:lineRule="exact"/>
        <w:jc w:val="center"/>
        <w:rPr>
          <w:rFonts w:eastAsia="楷体_GB2312"/>
        </w:rPr>
      </w:pPr>
    </w:p>
    <w:p w14:paraId="3F57C6E5">
      <w:pPr>
        <w:spacing w:line="420" w:lineRule="exact"/>
        <w:jc w:val="center"/>
        <w:rPr>
          <w:rFonts w:eastAsia="楷体_GB2312"/>
        </w:rPr>
      </w:pPr>
    </w:p>
    <w:p w14:paraId="77164CC2">
      <w:pPr>
        <w:spacing w:line="420" w:lineRule="exact"/>
        <w:jc w:val="center"/>
        <w:rPr>
          <w:rFonts w:eastAsia="楷体_GB2312"/>
        </w:rPr>
      </w:pPr>
    </w:p>
    <w:p w14:paraId="618AA1BC">
      <w:pPr>
        <w:spacing w:line="420" w:lineRule="exact"/>
        <w:jc w:val="center"/>
        <w:rPr>
          <w:rFonts w:eastAsia="楷体_GB2312"/>
        </w:rPr>
      </w:pPr>
    </w:p>
    <w:p w14:paraId="5B63A48A">
      <w:pPr>
        <w:spacing w:line="420" w:lineRule="exact"/>
        <w:jc w:val="center"/>
        <w:rPr>
          <w:rFonts w:eastAsia="楷体_GB2312"/>
        </w:rPr>
      </w:pPr>
    </w:p>
    <w:p w14:paraId="4B0BE3CF">
      <w:pPr>
        <w:spacing w:line="420" w:lineRule="exact"/>
        <w:jc w:val="center"/>
        <w:rPr>
          <w:rFonts w:eastAsia="楷体_GB2312"/>
        </w:rPr>
      </w:pPr>
    </w:p>
    <w:p w14:paraId="3206D8BB">
      <w:pPr>
        <w:spacing w:line="420" w:lineRule="exact"/>
        <w:jc w:val="center"/>
        <w:rPr>
          <w:rFonts w:eastAsia="楷体_GB2312"/>
        </w:rPr>
      </w:pPr>
    </w:p>
    <w:p w14:paraId="6DAEF07C">
      <w:pPr>
        <w:spacing w:line="420" w:lineRule="exact"/>
        <w:jc w:val="center"/>
        <w:rPr>
          <w:rFonts w:eastAsia="楷体_GB2312"/>
        </w:rPr>
      </w:pPr>
    </w:p>
    <w:p w14:paraId="2427FAC7">
      <w:pPr>
        <w:spacing w:line="420" w:lineRule="exact"/>
        <w:jc w:val="center"/>
        <w:rPr>
          <w:rFonts w:eastAsia="楷体_GB2312"/>
        </w:rPr>
      </w:pPr>
    </w:p>
    <w:p w14:paraId="1343D1D6">
      <w:pPr>
        <w:spacing w:line="420" w:lineRule="exact"/>
        <w:jc w:val="center"/>
        <w:rPr>
          <w:rFonts w:eastAsia="楷体_GB2312"/>
        </w:rPr>
      </w:pPr>
    </w:p>
    <w:p w14:paraId="2D007855">
      <w:pPr>
        <w:pStyle w:val="3"/>
        <w:jc w:val="center"/>
        <w:rPr>
          <w:rFonts w:ascii="Times New Roman" w:hAnsi="Times New Roman" w:eastAsia="黑体"/>
          <w:b w:val="0"/>
          <w:bCs w:val="0"/>
          <w:sz w:val="44"/>
          <w:szCs w:val="44"/>
        </w:rPr>
      </w:pPr>
      <w:bookmarkStart w:id="563" w:name="_Toc80006122"/>
      <w:bookmarkStart w:id="564" w:name="_Toc80006232"/>
      <w:bookmarkStart w:id="565" w:name="_Toc300678505"/>
      <w:r>
        <w:rPr>
          <w:rFonts w:ascii="Times New Roman" w:hAnsi="Times New Roman" w:eastAsia="黑体"/>
          <w:b w:val="0"/>
          <w:bCs w:val="0"/>
          <w:sz w:val="44"/>
          <w:szCs w:val="44"/>
        </w:rPr>
        <w:t>第  三  卷</w:t>
      </w:r>
      <w:bookmarkEnd w:id="563"/>
      <w:bookmarkEnd w:id="564"/>
      <w:bookmarkEnd w:id="565"/>
    </w:p>
    <w:p w14:paraId="7C63FD00">
      <w:pPr>
        <w:spacing w:line="360" w:lineRule="auto"/>
        <w:rPr>
          <w:rFonts w:eastAsia="楷体_GB2312"/>
        </w:rPr>
      </w:pPr>
      <w:r>
        <w:rPr>
          <w:rFonts w:eastAsia="楷体_GB2312"/>
        </w:rPr>
        <w:br w:type="page"/>
      </w:r>
    </w:p>
    <w:p w14:paraId="03978448">
      <w:pPr>
        <w:pStyle w:val="3"/>
        <w:spacing w:before="0" w:after="0" w:line="360" w:lineRule="auto"/>
        <w:jc w:val="center"/>
        <w:rPr>
          <w:rFonts w:ascii="Times New Roman" w:hAnsi="Times New Roman" w:eastAsia="黑体"/>
          <w:b w:val="0"/>
          <w:bCs w:val="0"/>
        </w:rPr>
      </w:pPr>
      <w:bookmarkStart w:id="566" w:name="_Toc300678506"/>
      <w:bookmarkStart w:id="567" w:name="_Toc80006233"/>
      <w:bookmarkStart w:id="568" w:name="_Toc80006123"/>
      <w:r>
        <w:rPr>
          <w:rFonts w:ascii="Times New Roman" w:hAnsi="Times New Roman" w:eastAsia="黑体"/>
          <w:b w:val="0"/>
          <w:bCs w:val="0"/>
        </w:rPr>
        <w:t>第七章  技术标准和要求</w:t>
      </w:r>
      <w:bookmarkEnd w:id="566"/>
      <w:bookmarkEnd w:id="567"/>
      <w:bookmarkEnd w:id="568"/>
    </w:p>
    <w:p w14:paraId="6203150E">
      <w:pPr>
        <w:pStyle w:val="4"/>
        <w:spacing w:line="360" w:lineRule="auto"/>
        <w:jc w:val="center"/>
        <w:rPr>
          <w:rFonts w:ascii="Times New Roman" w:hAnsi="Times New Roman" w:eastAsia="黑体"/>
          <w:b w:val="0"/>
          <w:bCs w:val="0"/>
          <w:sz w:val="30"/>
        </w:rPr>
      </w:pPr>
      <w:bookmarkStart w:id="569" w:name="_Toc80006234"/>
      <w:bookmarkStart w:id="570" w:name="_Toc80006124"/>
      <w:bookmarkStart w:id="571" w:name="_Toc300678507"/>
      <w:r>
        <w:rPr>
          <w:rFonts w:ascii="Times New Roman" w:hAnsi="Times New Roman" w:eastAsia="黑体"/>
          <w:b w:val="0"/>
          <w:bCs w:val="0"/>
          <w:sz w:val="30"/>
        </w:rPr>
        <w:t>第一节 一般要求</w:t>
      </w:r>
      <w:bookmarkEnd w:id="569"/>
      <w:bookmarkEnd w:id="570"/>
      <w:bookmarkEnd w:id="571"/>
    </w:p>
    <w:p w14:paraId="26A113E5">
      <w:pPr>
        <w:pStyle w:val="5"/>
        <w:keepNext/>
        <w:keepLines/>
        <w:widowControl w:val="0"/>
        <w:jc w:val="left"/>
        <w:rPr>
          <w:rFonts w:eastAsia="黑体"/>
          <w:b w:val="0"/>
          <w:bCs w:val="0"/>
          <w:sz w:val="28"/>
          <w:szCs w:val="28"/>
        </w:rPr>
      </w:pPr>
      <w:bookmarkStart w:id="572" w:name="_Toc79998411"/>
      <w:bookmarkStart w:id="573" w:name="_Toc79998855"/>
      <w:bookmarkStart w:id="574" w:name="_Toc300678508"/>
      <w:bookmarkStart w:id="575" w:name="_Toc80006125"/>
      <w:bookmarkStart w:id="576" w:name="_Toc9178552"/>
      <w:bookmarkStart w:id="577" w:name="_Toc80006235"/>
      <w:r>
        <w:rPr>
          <w:rFonts w:eastAsia="黑体"/>
          <w:b w:val="0"/>
          <w:bCs w:val="0"/>
          <w:sz w:val="28"/>
          <w:szCs w:val="28"/>
        </w:rPr>
        <w:t>1.工程说明</w:t>
      </w:r>
      <w:bookmarkEnd w:id="572"/>
      <w:bookmarkEnd w:id="573"/>
      <w:bookmarkEnd w:id="574"/>
      <w:bookmarkEnd w:id="575"/>
      <w:bookmarkEnd w:id="576"/>
      <w:bookmarkEnd w:id="577"/>
    </w:p>
    <w:p w14:paraId="358ED7A7">
      <w:pPr>
        <w:pStyle w:val="6"/>
        <w:rPr>
          <w:rFonts w:ascii="Times New Roman" w:hAnsi="Times New Roman" w:eastAsia="黑体"/>
          <w:b w:val="0"/>
          <w:bCs w:val="0"/>
          <w:sz w:val="24"/>
        </w:rPr>
      </w:pPr>
      <w:bookmarkStart w:id="578" w:name="_Toc300678509"/>
      <w:r>
        <w:rPr>
          <w:rFonts w:ascii="Times New Roman" w:hAnsi="Times New Roman" w:eastAsia="黑体"/>
          <w:b w:val="0"/>
          <w:bCs w:val="0"/>
          <w:sz w:val="24"/>
        </w:rPr>
        <w:t>1.1 工程概况</w:t>
      </w:r>
      <w:bookmarkEnd w:id="578"/>
    </w:p>
    <w:p w14:paraId="6A9C4673">
      <w:pPr>
        <w:spacing w:line="360" w:lineRule="auto"/>
        <w:ind w:firstLine="420" w:firstLineChars="200"/>
        <w:rPr>
          <w:szCs w:val="21"/>
        </w:rPr>
      </w:pPr>
      <w:r>
        <w:rPr>
          <w:szCs w:val="21"/>
        </w:rPr>
        <w:t>l.1.1 本工程基本情况如下：</w:t>
      </w:r>
      <w:r>
        <w:rPr>
          <w:szCs w:val="21"/>
          <w:u w:val="single"/>
        </w:rPr>
        <w:t xml:space="preserve">            </w:t>
      </w:r>
      <w:r>
        <w:rPr>
          <w:szCs w:val="21"/>
        </w:rPr>
        <w:t>。</w:t>
      </w:r>
    </w:p>
    <w:p w14:paraId="1B8696CB">
      <w:pPr>
        <w:spacing w:line="360" w:lineRule="auto"/>
        <w:ind w:firstLine="420" w:firstLineChars="200"/>
        <w:rPr>
          <w:szCs w:val="21"/>
        </w:rPr>
      </w:pPr>
      <w:r>
        <w:rPr>
          <w:szCs w:val="21"/>
        </w:rPr>
        <w:t>1.1.2 本工程施工场地（现场）具体地理位置如下：</w:t>
      </w:r>
      <w:r>
        <w:rPr>
          <w:szCs w:val="21"/>
          <w:u w:val="single"/>
        </w:rPr>
        <w:t xml:space="preserve">            </w:t>
      </w:r>
      <w:r>
        <w:rPr>
          <w:szCs w:val="21"/>
        </w:rPr>
        <w:t>。</w:t>
      </w:r>
    </w:p>
    <w:p w14:paraId="02539215">
      <w:pPr>
        <w:pStyle w:val="6"/>
        <w:rPr>
          <w:rFonts w:ascii="Times New Roman" w:hAnsi="Times New Roman" w:eastAsia="黑体"/>
          <w:b w:val="0"/>
          <w:bCs w:val="0"/>
          <w:sz w:val="24"/>
        </w:rPr>
      </w:pPr>
      <w:bookmarkStart w:id="579" w:name="_Toc300678510"/>
      <w:r>
        <w:rPr>
          <w:rFonts w:ascii="Times New Roman" w:hAnsi="Times New Roman" w:eastAsia="黑体"/>
          <w:b w:val="0"/>
          <w:bCs w:val="0"/>
          <w:sz w:val="24"/>
        </w:rPr>
        <w:t>1.2 现场条件和周围环境</w:t>
      </w:r>
      <w:bookmarkEnd w:id="579"/>
    </w:p>
    <w:p w14:paraId="100E74AC">
      <w:pPr>
        <w:spacing w:line="360" w:lineRule="auto"/>
        <w:ind w:firstLine="420" w:firstLineChars="200"/>
        <w:rPr>
          <w:szCs w:val="21"/>
        </w:rPr>
      </w:pPr>
      <w:r>
        <w:rPr>
          <w:szCs w:val="21"/>
        </w:rPr>
        <w:t>1.2.1 本工程施工场地（现场）已经具备施工条件。施工场地（现场）临时水源接口位置、临时电源接口位置、临时排污口位置、建筑红线位置、道路交通和出入口、以及施工场地（现场）和周围环境等情况见本章附件A：施工场地（现场）现状平面图。</w:t>
      </w:r>
    </w:p>
    <w:p w14:paraId="30093321">
      <w:pPr>
        <w:spacing w:line="360" w:lineRule="auto"/>
        <w:ind w:firstLine="420" w:firstLineChars="200"/>
        <w:rPr>
          <w:szCs w:val="21"/>
        </w:rPr>
      </w:pPr>
      <w:r>
        <w:rPr>
          <w:szCs w:val="21"/>
        </w:rPr>
        <w:t>1.2.2 施工场地（现场）临时供水管径</w:t>
      </w:r>
      <w:r>
        <w:rPr>
          <w:szCs w:val="21"/>
          <w:u w:val="single"/>
        </w:rPr>
        <w:t xml:space="preserve">      </w:t>
      </w:r>
      <w:r>
        <w:rPr>
          <w:szCs w:val="21"/>
        </w:rPr>
        <w:t>。</w:t>
      </w:r>
    </w:p>
    <w:p w14:paraId="77C9C48B">
      <w:pPr>
        <w:spacing w:line="360" w:lineRule="auto"/>
        <w:ind w:firstLine="420" w:firstLineChars="200"/>
        <w:rPr>
          <w:szCs w:val="21"/>
        </w:rPr>
      </w:pPr>
      <w:r>
        <w:rPr>
          <w:szCs w:val="21"/>
        </w:rPr>
        <w:t>施工场地（现场）临时排污管径</w:t>
      </w:r>
      <w:r>
        <w:rPr>
          <w:szCs w:val="21"/>
          <w:u w:val="single"/>
        </w:rPr>
        <w:t xml:space="preserve">     </w:t>
      </w:r>
      <w:r>
        <w:rPr>
          <w:szCs w:val="21"/>
        </w:rPr>
        <w:t>。</w:t>
      </w:r>
    </w:p>
    <w:p w14:paraId="107ED722">
      <w:pPr>
        <w:spacing w:line="360" w:lineRule="auto"/>
        <w:ind w:firstLine="420" w:firstLineChars="200"/>
        <w:rPr>
          <w:szCs w:val="21"/>
        </w:rPr>
      </w:pPr>
      <w:r>
        <w:rPr>
          <w:szCs w:val="21"/>
        </w:rPr>
        <w:t>施工场地（现场）临时雨水管径</w:t>
      </w:r>
      <w:r>
        <w:rPr>
          <w:szCs w:val="21"/>
          <w:u w:val="single"/>
        </w:rPr>
        <w:t xml:space="preserve">     </w:t>
      </w:r>
      <w:r>
        <w:rPr>
          <w:szCs w:val="21"/>
        </w:rPr>
        <w:t>。</w:t>
      </w:r>
    </w:p>
    <w:p w14:paraId="00FA89DF">
      <w:pPr>
        <w:spacing w:line="360" w:lineRule="auto"/>
        <w:ind w:firstLine="420" w:firstLineChars="200"/>
        <w:rPr>
          <w:szCs w:val="21"/>
        </w:rPr>
      </w:pPr>
      <w:r>
        <w:rPr>
          <w:szCs w:val="21"/>
        </w:rPr>
        <w:t>施工现场临时供电容量（变压器输出功率）</w:t>
      </w:r>
      <w:r>
        <w:rPr>
          <w:szCs w:val="21"/>
          <w:u w:val="single"/>
        </w:rPr>
        <w:t xml:space="preserve">     </w:t>
      </w:r>
      <w:r>
        <w:rPr>
          <w:szCs w:val="21"/>
        </w:rPr>
        <w:t>。</w:t>
      </w:r>
    </w:p>
    <w:p w14:paraId="11ADB5F0">
      <w:pPr>
        <w:spacing w:line="360" w:lineRule="auto"/>
        <w:ind w:firstLine="420" w:firstLineChars="200"/>
        <w:rPr>
          <w:szCs w:val="21"/>
        </w:rPr>
      </w:pPr>
      <w:r>
        <w:rPr>
          <w:szCs w:val="21"/>
        </w:rPr>
        <w:t>1.2.3 现场条件和周围环境的其他资料和信息数据如下：</w:t>
      </w:r>
      <w:r>
        <w:rPr>
          <w:szCs w:val="21"/>
          <w:u w:val="single"/>
        </w:rPr>
        <w:t xml:space="preserve">     </w:t>
      </w:r>
      <w:r>
        <w:rPr>
          <w:szCs w:val="21"/>
        </w:rPr>
        <w:t>。</w:t>
      </w:r>
    </w:p>
    <w:p w14:paraId="54A192A0">
      <w:pPr>
        <w:spacing w:line="360" w:lineRule="auto"/>
        <w:ind w:firstLine="420" w:firstLineChars="200"/>
        <w:rPr>
          <w:szCs w:val="21"/>
        </w:rPr>
      </w:pPr>
      <w:r>
        <w:rPr>
          <w:szCs w:val="21"/>
        </w:rPr>
        <w:t xml:space="preserve">1.2.4 承包人被认为已在本工程投标阶段踏勘现场时充分了解本工程现场条件和周围环境，并已在其投标时就此给予了充分的考虑。 </w:t>
      </w:r>
    </w:p>
    <w:p w14:paraId="3314E7A4">
      <w:pPr>
        <w:pStyle w:val="6"/>
        <w:rPr>
          <w:rFonts w:ascii="Times New Roman" w:hAnsi="Times New Roman" w:eastAsia="黑体"/>
          <w:b w:val="0"/>
          <w:bCs w:val="0"/>
          <w:sz w:val="24"/>
        </w:rPr>
      </w:pPr>
      <w:bookmarkStart w:id="580" w:name="_Toc300678511"/>
      <w:r>
        <w:rPr>
          <w:rFonts w:ascii="Times New Roman" w:hAnsi="Times New Roman" w:eastAsia="黑体"/>
          <w:b w:val="0"/>
          <w:bCs w:val="0"/>
          <w:sz w:val="24"/>
        </w:rPr>
        <w:t>1.3 地质及水文资料</w:t>
      </w:r>
      <w:bookmarkEnd w:id="580"/>
    </w:p>
    <w:p w14:paraId="0A3ACEBB">
      <w:pPr>
        <w:spacing w:line="360" w:lineRule="auto"/>
        <w:ind w:firstLine="420" w:firstLineChars="200"/>
        <w:rPr>
          <w:szCs w:val="21"/>
        </w:rPr>
      </w:pPr>
      <w:r>
        <w:rPr>
          <w:szCs w:val="21"/>
        </w:rPr>
        <w:t>1.3.1 现场地质及水文资料和信息数据如下：</w:t>
      </w:r>
      <w:r>
        <w:rPr>
          <w:szCs w:val="21"/>
          <w:u w:val="single"/>
        </w:rPr>
        <w:t xml:space="preserve">     </w:t>
      </w:r>
      <w:r>
        <w:rPr>
          <w:szCs w:val="21"/>
        </w:rPr>
        <w:t>。</w:t>
      </w:r>
    </w:p>
    <w:p w14:paraId="467C5647">
      <w:pPr>
        <w:pStyle w:val="6"/>
        <w:rPr>
          <w:rFonts w:ascii="Times New Roman" w:hAnsi="Times New Roman" w:eastAsia="黑体"/>
          <w:b w:val="0"/>
          <w:bCs w:val="0"/>
          <w:sz w:val="24"/>
        </w:rPr>
      </w:pPr>
      <w:bookmarkStart w:id="581" w:name="_Toc300678512"/>
      <w:r>
        <w:rPr>
          <w:rFonts w:ascii="Times New Roman" w:hAnsi="Times New Roman" w:eastAsia="黑体"/>
          <w:b w:val="0"/>
          <w:bCs w:val="0"/>
          <w:sz w:val="24"/>
        </w:rPr>
        <w:t>1.4 资料和信息的使用</w:t>
      </w:r>
      <w:bookmarkEnd w:id="581"/>
    </w:p>
    <w:p w14:paraId="78967252">
      <w:pPr>
        <w:spacing w:line="360" w:lineRule="auto"/>
        <w:ind w:firstLine="420" w:firstLineChars="200"/>
        <w:rPr>
          <w:szCs w:val="21"/>
        </w:rPr>
      </w:pPr>
      <w:r>
        <w:rPr>
          <w:szCs w:val="21"/>
        </w:rPr>
        <w:t>1.4.1 合同文件中载明的涉及本工程现场条件、周围环境、地质及水文等情况的资料和信息数据，是发包人现有的和客观的，发包人保证有关资料和信息数据的真实、准确。但承包人据此作出的推论、判断和决策，由承包人自行负责。</w:t>
      </w:r>
    </w:p>
    <w:p w14:paraId="7E406856">
      <w:pPr>
        <w:pStyle w:val="5"/>
        <w:keepNext/>
        <w:keepLines/>
        <w:widowControl w:val="0"/>
        <w:jc w:val="left"/>
        <w:rPr>
          <w:rFonts w:eastAsia="黑体"/>
          <w:b w:val="0"/>
          <w:bCs w:val="0"/>
          <w:sz w:val="28"/>
          <w:szCs w:val="28"/>
        </w:rPr>
      </w:pPr>
      <w:bookmarkStart w:id="582" w:name="_Toc79998856"/>
      <w:bookmarkStart w:id="583" w:name="_Toc79998412"/>
      <w:bookmarkStart w:id="584" w:name="_Toc80006236"/>
      <w:bookmarkStart w:id="585" w:name="_Toc300678513"/>
      <w:bookmarkStart w:id="586" w:name="_Toc9178553"/>
      <w:bookmarkStart w:id="587" w:name="_Toc80006126"/>
      <w:r>
        <w:rPr>
          <w:rFonts w:eastAsia="黑体"/>
          <w:b w:val="0"/>
          <w:bCs w:val="0"/>
          <w:sz w:val="28"/>
          <w:szCs w:val="28"/>
        </w:rPr>
        <w:t>2.承包范围</w:t>
      </w:r>
      <w:bookmarkEnd w:id="582"/>
      <w:bookmarkEnd w:id="583"/>
      <w:bookmarkEnd w:id="584"/>
      <w:bookmarkEnd w:id="585"/>
      <w:bookmarkEnd w:id="586"/>
      <w:bookmarkEnd w:id="587"/>
    </w:p>
    <w:p w14:paraId="10EFA23D">
      <w:pPr>
        <w:pStyle w:val="6"/>
        <w:rPr>
          <w:rFonts w:ascii="Times New Roman" w:hAnsi="Times New Roman" w:eastAsia="黑体"/>
          <w:b w:val="0"/>
          <w:bCs w:val="0"/>
          <w:sz w:val="24"/>
        </w:rPr>
      </w:pPr>
      <w:bookmarkStart w:id="588" w:name="_Toc300678514"/>
      <w:r>
        <w:rPr>
          <w:rFonts w:ascii="Times New Roman" w:hAnsi="Times New Roman" w:eastAsia="黑体"/>
          <w:b w:val="0"/>
          <w:bCs w:val="0"/>
          <w:sz w:val="24"/>
        </w:rPr>
        <w:t>2.1 承包范围</w:t>
      </w:r>
      <w:bookmarkEnd w:id="588"/>
    </w:p>
    <w:p w14:paraId="0742AC1A">
      <w:pPr>
        <w:spacing w:line="360" w:lineRule="auto"/>
        <w:ind w:firstLine="420" w:firstLineChars="200"/>
        <w:rPr>
          <w:szCs w:val="21"/>
        </w:rPr>
      </w:pPr>
      <w:r>
        <w:rPr>
          <w:szCs w:val="21"/>
        </w:rPr>
        <w:t>2.1.1 承包人自行施工范围</w:t>
      </w:r>
    </w:p>
    <w:p w14:paraId="6AA48414">
      <w:pPr>
        <w:spacing w:line="360" w:lineRule="auto"/>
        <w:ind w:firstLine="420" w:firstLineChars="200"/>
        <w:rPr>
          <w:szCs w:val="21"/>
        </w:rPr>
      </w:pPr>
      <w:r>
        <w:rPr>
          <w:szCs w:val="21"/>
        </w:rPr>
        <w:t>本工程承包人自行施工的工程范围如下：</w:t>
      </w:r>
      <w:r>
        <w:rPr>
          <w:szCs w:val="21"/>
          <w:u w:val="single"/>
        </w:rPr>
        <w:t xml:space="preserve">                  </w:t>
      </w:r>
      <w:r>
        <w:rPr>
          <w:szCs w:val="21"/>
        </w:rPr>
        <w:t>。</w:t>
      </w:r>
    </w:p>
    <w:p w14:paraId="3589D76C">
      <w:pPr>
        <w:spacing w:line="360" w:lineRule="auto"/>
        <w:ind w:firstLine="420" w:firstLineChars="200"/>
        <w:rPr>
          <w:szCs w:val="21"/>
        </w:rPr>
      </w:pPr>
      <w:r>
        <w:rPr>
          <w:szCs w:val="21"/>
        </w:rPr>
        <w:t>2.1.2 承包范围内的暂估价项目</w:t>
      </w:r>
    </w:p>
    <w:p w14:paraId="7AE31269">
      <w:pPr>
        <w:spacing w:line="360" w:lineRule="auto"/>
        <w:ind w:firstLine="420" w:firstLineChars="200"/>
        <w:rPr>
          <w:szCs w:val="21"/>
        </w:rPr>
      </w:pPr>
      <w:r>
        <w:rPr>
          <w:szCs w:val="21"/>
        </w:rPr>
        <w:t>2.1.2.1 承包范围内以暂估价形式实施的专业工程见第五章“工程量清单”中“其他项目措施费表”。</w:t>
      </w:r>
    </w:p>
    <w:p w14:paraId="7C37439E">
      <w:pPr>
        <w:tabs>
          <w:tab w:val="left" w:pos="1260"/>
        </w:tabs>
        <w:spacing w:line="360" w:lineRule="auto"/>
        <w:ind w:firstLine="420" w:firstLineChars="200"/>
        <w:rPr>
          <w:szCs w:val="21"/>
        </w:rPr>
      </w:pPr>
      <w:r>
        <w:rPr>
          <w:szCs w:val="21"/>
        </w:rPr>
        <w:t>2.1.2.2 承包范围内以暂估价形式实施的材料和工程设备见第五章“工程量清单”中的“材料(工程设备)暂估单价表”。</w:t>
      </w:r>
    </w:p>
    <w:p w14:paraId="18018D31">
      <w:pPr>
        <w:spacing w:line="360" w:lineRule="auto"/>
        <w:ind w:firstLine="420" w:firstLineChars="200"/>
        <w:rPr>
          <w:szCs w:val="21"/>
        </w:rPr>
      </w:pPr>
      <w:r>
        <w:rPr>
          <w:szCs w:val="21"/>
        </w:rPr>
        <w:t>2.1.2.3 上述暂估价项目与本节第2.1.1项承包人自行施工范围的工作界面划分如下：</w:t>
      </w:r>
      <w:r>
        <w:rPr>
          <w:szCs w:val="21"/>
          <w:u w:val="single"/>
        </w:rPr>
        <w:t xml:space="preserve">     </w:t>
      </w:r>
      <w:r>
        <w:rPr>
          <w:szCs w:val="21"/>
        </w:rPr>
        <w:t>。</w:t>
      </w:r>
    </w:p>
    <w:p w14:paraId="38CCFE41">
      <w:pPr>
        <w:spacing w:line="360" w:lineRule="auto"/>
        <w:ind w:firstLine="420" w:firstLineChars="200"/>
        <w:rPr>
          <w:szCs w:val="21"/>
        </w:rPr>
      </w:pPr>
      <w:r>
        <w:rPr>
          <w:szCs w:val="21"/>
        </w:rPr>
        <w:t>2.1.3 承包范围内的暂列金额项目</w:t>
      </w:r>
    </w:p>
    <w:p w14:paraId="0D1F7513">
      <w:pPr>
        <w:spacing w:line="360" w:lineRule="auto"/>
        <w:ind w:firstLine="420" w:firstLineChars="200"/>
        <w:rPr>
          <w:szCs w:val="21"/>
        </w:rPr>
      </w:pPr>
      <w:r>
        <w:rPr>
          <w:szCs w:val="21"/>
        </w:rPr>
        <w:t>2.1.3.1 承包范围内以暂列金额（包括计日工）方式实施的项目见第五章“工程量清单”中“暂列金额明细表”（不包括计日工）和 “计日工表”，其中计日工金额为承包人在其投标报价中按 “计日工表”所列计日工项目、数量和相应规定填报的金额。</w:t>
      </w:r>
    </w:p>
    <w:p w14:paraId="262AAA2C">
      <w:pPr>
        <w:spacing w:line="360" w:lineRule="auto"/>
        <w:ind w:firstLine="420" w:firstLineChars="200"/>
        <w:rPr>
          <w:szCs w:val="21"/>
        </w:rPr>
      </w:pPr>
      <w:r>
        <w:rPr>
          <w:szCs w:val="21"/>
        </w:rPr>
        <w:t>2.1.3.2 暂列金额明细表中每笔暂列金额所对应的项目，包括计日工，均只是可能发生的项目。承包人应当充分认识到，合同履行过程中所列暂列金额可能不发生，也可能部分发生。即便发生，监理人按照合同约定发出的使用暂列金额的指示也不限于只能用于表中所列项目。</w:t>
      </w:r>
    </w:p>
    <w:p w14:paraId="7B91D52D">
      <w:pPr>
        <w:spacing w:line="360" w:lineRule="auto"/>
        <w:ind w:firstLine="420" w:firstLineChars="200"/>
        <w:rPr>
          <w:szCs w:val="21"/>
        </w:rPr>
      </w:pPr>
      <w:r>
        <w:rPr>
          <w:szCs w:val="21"/>
        </w:rPr>
        <w:t>2.1.3.3 暂列金额是否实际发生、其再分和合并等均不应成为承包人要求任何追加费用和（或）延长工期的理由。</w:t>
      </w:r>
    </w:p>
    <w:p w14:paraId="211D6FB0">
      <w:pPr>
        <w:spacing w:line="360" w:lineRule="auto"/>
        <w:ind w:firstLine="420" w:firstLineChars="200"/>
        <w:rPr>
          <w:szCs w:val="21"/>
        </w:rPr>
      </w:pPr>
      <w:r>
        <w:rPr>
          <w:szCs w:val="21"/>
        </w:rPr>
        <w:t>2.1.3.4 关于暂列金额的其他说明：</w:t>
      </w:r>
      <w:r>
        <w:rPr>
          <w:szCs w:val="21"/>
          <w:u w:val="single"/>
        </w:rPr>
        <w:t xml:space="preserve">     </w:t>
      </w:r>
      <w:r>
        <w:rPr>
          <w:szCs w:val="21"/>
        </w:rPr>
        <w:t>。</w:t>
      </w:r>
    </w:p>
    <w:p w14:paraId="38520A4D">
      <w:pPr>
        <w:pStyle w:val="6"/>
        <w:rPr>
          <w:rFonts w:ascii="Times New Roman" w:hAnsi="Times New Roman" w:eastAsia="黑体"/>
          <w:b w:val="0"/>
          <w:bCs w:val="0"/>
          <w:sz w:val="24"/>
        </w:rPr>
      </w:pPr>
      <w:bookmarkStart w:id="589" w:name="_Toc300678515"/>
      <w:r>
        <w:rPr>
          <w:rFonts w:ascii="Times New Roman" w:hAnsi="Times New Roman" w:eastAsia="黑体"/>
          <w:b w:val="0"/>
          <w:bCs w:val="0"/>
          <w:sz w:val="24"/>
        </w:rPr>
        <w:t>2.2 发包人发包专业工程和发包人供应的材料和工程设备</w:t>
      </w:r>
      <w:bookmarkEnd w:id="589"/>
    </w:p>
    <w:p w14:paraId="52BDA8D0">
      <w:pPr>
        <w:spacing w:line="360" w:lineRule="auto"/>
        <w:ind w:firstLine="420" w:firstLineChars="200"/>
        <w:rPr>
          <w:szCs w:val="21"/>
        </w:rPr>
      </w:pPr>
      <w:r>
        <w:rPr>
          <w:szCs w:val="21"/>
        </w:rPr>
        <w:t>2.2.1 由发包人发包的专业工程属于与本工程有关的其他工程，不属于承包人的承包范围。发包人发包的专业工程如下：</w:t>
      </w:r>
      <w:r>
        <w:rPr>
          <w:szCs w:val="21"/>
          <w:u w:val="single"/>
        </w:rPr>
        <w:t xml:space="preserve">     </w:t>
      </w:r>
      <w:r>
        <w:rPr>
          <w:szCs w:val="21"/>
        </w:rPr>
        <w:t>。</w:t>
      </w:r>
    </w:p>
    <w:p w14:paraId="60857D39">
      <w:pPr>
        <w:spacing w:line="360" w:lineRule="auto"/>
        <w:ind w:firstLine="420" w:firstLineChars="200"/>
        <w:rPr>
          <w:szCs w:val="21"/>
        </w:rPr>
      </w:pPr>
      <w:r>
        <w:rPr>
          <w:szCs w:val="21"/>
        </w:rPr>
        <w:t>2.2.2 由发包人供应的材料和工程设备不属于承包人的承包范围。发包人供应的材料和工程设备见合同附件二“发包人供应的材料和工程设备一览表”。</w:t>
      </w:r>
    </w:p>
    <w:p w14:paraId="4526BBAF">
      <w:pPr>
        <w:pStyle w:val="6"/>
        <w:rPr>
          <w:rFonts w:ascii="Times New Roman" w:hAnsi="Times New Roman" w:eastAsia="黑体"/>
          <w:b w:val="0"/>
          <w:bCs w:val="0"/>
          <w:sz w:val="24"/>
        </w:rPr>
      </w:pPr>
      <w:bookmarkStart w:id="590" w:name="_Toc300678516"/>
      <w:r>
        <w:rPr>
          <w:rFonts w:ascii="Times New Roman" w:hAnsi="Times New Roman" w:eastAsia="黑体"/>
          <w:b w:val="0"/>
          <w:bCs w:val="0"/>
          <w:sz w:val="24"/>
        </w:rPr>
        <w:t>2.3 承包人与发包人发包专业工程承包人的工作界面</w:t>
      </w:r>
      <w:bookmarkEnd w:id="590"/>
    </w:p>
    <w:p w14:paraId="28C55987">
      <w:pPr>
        <w:spacing w:line="360" w:lineRule="auto"/>
        <w:ind w:firstLine="420" w:firstLineChars="200"/>
        <w:rPr>
          <w:szCs w:val="21"/>
        </w:rPr>
      </w:pPr>
      <w:r>
        <w:rPr>
          <w:szCs w:val="21"/>
        </w:rPr>
        <w:t>2.3.1 承包人与发包人发包专业工程承包人以及与发包人供应的材料和设备的供应商之间的工作界面划分如下：</w:t>
      </w:r>
      <w:r>
        <w:rPr>
          <w:szCs w:val="21"/>
          <w:u w:val="single"/>
        </w:rPr>
        <w:t xml:space="preserve">     </w:t>
      </w:r>
      <w:r>
        <w:rPr>
          <w:szCs w:val="21"/>
        </w:rPr>
        <w:t>。</w:t>
      </w:r>
    </w:p>
    <w:p w14:paraId="73E9E6B0">
      <w:pPr>
        <w:pStyle w:val="6"/>
        <w:rPr>
          <w:rFonts w:ascii="Times New Roman" w:hAnsi="Times New Roman" w:eastAsia="黑体"/>
          <w:b w:val="0"/>
          <w:bCs w:val="0"/>
          <w:sz w:val="24"/>
        </w:rPr>
      </w:pPr>
      <w:bookmarkStart w:id="591" w:name="_Toc300678517"/>
      <w:r>
        <w:rPr>
          <w:rFonts w:ascii="Times New Roman" w:hAnsi="Times New Roman" w:eastAsia="黑体"/>
          <w:b w:val="0"/>
          <w:bCs w:val="0"/>
          <w:sz w:val="24"/>
        </w:rPr>
        <w:t>2.4 承包人需要为发包人和监理人提供的现场办公条件和设施</w:t>
      </w:r>
      <w:bookmarkEnd w:id="591"/>
    </w:p>
    <w:p w14:paraId="0AD24132">
      <w:pPr>
        <w:spacing w:line="360" w:lineRule="auto"/>
        <w:ind w:firstLine="420" w:firstLineChars="200"/>
        <w:rPr>
          <w:szCs w:val="21"/>
        </w:rPr>
      </w:pPr>
      <w:r>
        <w:rPr>
          <w:szCs w:val="21"/>
        </w:rPr>
        <w:t>2.4.1 承包人需要为发包人和监理人提供的现场办公条件和设施及其详细要求如下：</w:t>
      </w:r>
      <w:r>
        <w:rPr>
          <w:szCs w:val="21"/>
          <w:u w:val="single"/>
        </w:rPr>
        <w:t xml:space="preserve">     </w:t>
      </w:r>
      <w:r>
        <w:rPr>
          <w:szCs w:val="21"/>
        </w:rPr>
        <w:t>。</w:t>
      </w:r>
    </w:p>
    <w:p w14:paraId="49999B7D">
      <w:pPr>
        <w:pStyle w:val="5"/>
        <w:keepNext/>
        <w:keepLines/>
        <w:widowControl w:val="0"/>
        <w:jc w:val="left"/>
        <w:rPr>
          <w:rFonts w:eastAsia="黑体"/>
          <w:b w:val="0"/>
          <w:bCs w:val="0"/>
          <w:sz w:val="28"/>
          <w:szCs w:val="28"/>
        </w:rPr>
      </w:pPr>
      <w:bookmarkStart w:id="592" w:name="_Toc300678518"/>
      <w:bookmarkStart w:id="593" w:name="_Toc80006237"/>
      <w:bookmarkStart w:id="594" w:name="_Toc9178554"/>
      <w:bookmarkStart w:id="595" w:name="_Toc80006127"/>
      <w:bookmarkStart w:id="596" w:name="_Toc79998413"/>
      <w:bookmarkStart w:id="597" w:name="_Toc79998857"/>
      <w:r>
        <w:rPr>
          <w:rFonts w:eastAsia="黑体"/>
          <w:b w:val="0"/>
          <w:bCs w:val="0"/>
          <w:sz w:val="28"/>
          <w:szCs w:val="28"/>
        </w:rPr>
        <w:t>3.工期要求</w:t>
      </w:r>
      <w:bookmarkEnd w:id="592"/>
      <w:bookmarkEnd w:id="593"/>
      <w:bookmarkEnd w:id="594"/>
      <w:bookmarkEnd w:id="595"/>
      <w:bookmarkEnd w:id="596"/>
      <w:bookmarkEnd w:id="597"/>
    </w:p>
    <w:p w14:paraId="03C8A0B5">
      <w:pPr>
        <w:pStyle w:val="6"/>
        <w:rPr>
          <w:rFonts w:ascii="Times New Roman" w:hAnsi="Times New Roman" w:eastAsia="黑体"/>
          <w:b w:val="0"/>
          <w:bCs w:val="0"/>
          <w:sz w:val="24"/>
        </w:rPr>
      </w:pPr>
      <w:bookmarkStart w:id="598" w:name="_Toc300678519"/>
      <w:r>
        <w:rPr>
          <w:rFonts w:ascii="Times New Roman" w:hAnsi="Times New Roman" w:eastAsia="黑体"/>
          <w:b w:val="0"/>
          <w:bCs w:val="0"/>
          <w:sz w:val="24"/>
        </w:rPr>
        <w:t>3.1 合同工期</w:t>
      </w:r>
      <w:bookmarkEnd w:id="598"/>
    </w:p>
    <w:p w14:paraId="3ED31A5F">
      <w:pPr>
        <w:spacing w:line="360" w:lineRule="auto"/>
        <w:ind w:firstLine="420" w:firstLineChars="200"/>
        <w:rPr>
          <w:szCs w:val="21"/>
        </w:rPr>
      </w:pPr>
      <w:r>
        <w:rPr>
          <w:szCs w:val="21"/>
        </w:rPr>
        <w:t>本工程合同工期和计划开、竣工日期为承包人在投标函附录中承诺的工期和计划开、竣工日期，并在合同协议书中载明。</w:t>
      </w:r>
    </w:p>
    <w:p w14:paraId="1F1296A3">
      <w:pPr>
        <w:pStyle w:val="6"/>
        <w:rPr>
          <w:rFonts w:ascii="Times New Roman" w:hAnsi="Times New Roman" w:eastAsia="黑体"/>
          <w:b w:val="0"/>
          <w:bCs w:val="0"/>
          <w:sz w:val="24"/>
        </w:rPr>
      </w:pPr>
      <w:bookmarkStart w:id="599" w:name="_Toc300678520"/>
      <w:r>
        <w:rPr>
          <w:rFonts w:ascii="Times New Roman" w:hAnsi="Times New Roman" w:eastAsia="黑体"/>
          <w:b w:val="0"/>
          <w:bCs w:val="0"/>
          <w:sz w:val="24"/>
        </w:rPr>
        <w:t>3.2 关于工期的一般规定</w:t>
      </w:r>
      <w:bookmarkEnd w:id="599"/>
    </w:p>
    <w:p w14:paraId="13D1872F">
      <w:pPr>
        <w:spacing w:line="360" w:lineRule="auto"/>
        <w:ind w:firstLine="420" w:firstLineChars="200"/>
        <w:rPr>
          <w:szCs w:val="21"/>
        </w:rPr>
      </w:pPr>
      <w:r>
        <w:rPr>
          <w:szCs w:val="21"/>
        </w:rPr>
        <w:t>3.2.1 承包人在投标函中承诺的工期和计划开、竣工日期之间发生矛盾或者不一致时，以承包人承诺的工期为准。实际开工日期以合同条款约定的监理人发出的开工通知中载明的开工日期为准。</w:t>
      </w:r>
    </w:p>
    <w:p w14:paraId="0648A402">
      <w:pPr>
        <w:spacing w:line="360" w:lineRule="auto"/>
        <w:ind w:firstLine="420" w:firstLineChars="200"/>
        <w:rPr>
          <w:szCs w:val="21"/>
        </w:rPr>
      </w:pPr>
      <w:r>
        <w:rPr>
          <w:szCs w:val="21"/>
        </w:rPr>
        <w:t>3.2.2 如果承包人在投标函附录中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55652555">
      <w:pPr>
        <w:spacing w:line="360" w:lineRule="auto"/>
        <w:ind w:firstLine="420" w:firstLineChars="200"/>
        <w:rPr>
          <w:szCs w:val="21"/>
        </w:rPr>
      </w:pPr>
      <w:r>
        <w:rPr>
          <w:szCs w:val="21"/>
        </w:rPr>
        <w:t>3.2.3 承包人在投标函附录中所承诺的工期应当包括实施并完成本节上述2.1.2项规定的暂估价项目和上述2.1.3项规定的实际可能发生的暂列金额在内的所有工作的工期。</w:t>
      </w:r>
    </w:p>
    <w:p w14:paraId="3FEC7096">
      <w:pPr>
        <w:pStyle w:val="5"/>
        <w:keepNext/>
        <w:keepLines/>
        <w:widowControl w:val="0"/>
        <w:jc w:val="left"/>
        <w:rPr>
          <w:rFonts w:eastAsia="黑体"/>
          <w:b w:val="0"/>
          <w:bCs w:val="0"/>
          <w:sz w:val="28"/>
          <w:szCs w:val="28"/>
        </w:rPr>
      </w:pPr>
      <w:bookmarkStart w:id="600" w:name="_Toc79998858"/>
      <w:bookmarkStart w:id="601" w:name="_Toc79998414"/>
      <w:bookmarkStart w:id="602" w:name="_Toc9178555"/>
      <w:bookmarkStart w:id="603" w:name="_Toc300678521"/>
      <w:bookmarkStart w:id="604" w:name="_Toc80006128"/>
      <w:bookmarkStart w:id="605" w:name="_Toc80006238"/>
      <w:r>
        <w:rPr>
          <w:rFonts w:eastAsia="黑体"/>
          <w:b w:val="0"/>
          <w:bCs w:val="0"/>
          <w:sz w:val="28"/>
          <w:szCs w:val="28"/>
        </w:rPr>
        <w:t>4.质量要求</w:t>
      </w:r>
      <w:bookmarkEnd w:id="600"/>
      <w:bookmarkEnd w:id="601"/>
      <w:bookmarkEnd w:id="602"/>
      <w:bookmarkEnd w:id="603"/>
      <w:bookmarkEnd w:id="604"/>
      <w:bookmarkEnd w:id="605"/>
    </w:p>
    <w:p w14:paraId="127502FB">
      <w:pPr>
        <w:pStyle w:val="6"/>
        <w:rPr>
          <w:rFonts w:ascii="Times New Roman" w:hAnsi="Times New Roman" w:eastAsia="黑体"/>
          <w:b w:val="0"/>
          <w:bCs w:val="0"/>
          <w:sz w:val="24"/>
        </w:rPr>
      </w:pPr>
      <w:bookmarkStart w:id="606" w:name="_Toc300678522"/>
      <w:r>
        <w:rPr>
          <w:rFonts w:ascii="Times New Roman" w:hAnsi="Times New Roman" w:eastAsia="黑体"/>
          <w:b w:val="0"/>
          <w:bCs w:val="0"/>
          <w:sz w:val="24"/>
        </w:rPr>
        <w:t>4.1 质量标准</w:t>
      </w:r>
      <w:bookmarkEnd w:id="606"/>
    </w:p>
    <w:p w14:paraId="3EE8BF37">
      <w:pPr>
        <w:spacing w:line="360" w:lineRule="auto"/>
        <w:ind w:firstLine="420" w:firstLineChars="200"/>
        <w:rPr>
          <w:szCs w:val="21"/>
        </w:rPr>
      </w:pPr>
      <w:r>
        <w:rPr>
          <w:szCs w:val="21"/>
        </w:rPr>
        <w:t>4.1.1 本工程要求的质量标准为符合现行国家有关工程施工验收规范和标准的要求合格。</w:t>
      </w:r>
    </w:p>
    <w:p w14:paraId="34B5E5F8">
      <w:pPr>
        <w:pStyle w:val="6"/>
        <w:rPr>
          <w:rFonts w:ascii="Times New Roman" w:hAnsi="Times New Roman" w:eastAsia="黑体"/>
          <w:b w:val="0"/>
          <w:bCs w:val="0"/>
          <w:sz w:val="24"/>
        </w:rPr>
      </w:pPr>
      <w:bookmarkStart w:id="607" w:name="_Toc300678523"/>
      <w:r>
        <w:rPr>
          <w:rFonts w:ascii="Times New Roman" w:hAnsi="Times New Roman" w:eastAsia="黑体"/>
          <w:b w:val="0"/>
          <w:bCs w:val="0"/>
          <w:sz w:val="24"/>
        </w:rPr>
        <w:t>4.2 特殊质量要求</w:t>
      </w:r>
      <w:bookmarkEnd w:id="607"/>
    </w:p>
    <w:p w14:paraId="1E78FB82">
      <w:pPr>
        <w:spacing w:line="360" w:lineRule="auto"/>
        <w:ind w:firstLine="420" w:firstLineChars="200"/>
        <w:rPr>
          <w:szCs w:val="21"/>
        </w:rPr>
      </w:pPr>
      <w:r>
        <w:rPr>
          <w:szCs w:val="21"/>
        </w:rPr>
        <w:t>4.2.1 有关本工程质量方面的特殊要求如下：</w:t>
      </w:r>
      <w:r>
        <w:rPr>
          <w:szCs w:val="21"/>
          <w:u w:val="single"/>
        </w:rPr>
        <w:t xml:space="preserve">     </w:t>
      </w:r>
      <w:r>
        <w:rPr>
          <w:szCs w:val="21"/>
        </w:rPr>
        <w:t>。</w:t>
      </w:r>
    </w:p>
    <w:p w14:paraId="395C2B72">
      <w:pPr>
        <w:pStyle w:val="5"/>
        <w:keepNext/>
        <w:keepLines/>
        <w:widowControl w:val="0"/>
        <w:jc w:val="left"/>
        <w:rPr>
          <w:rFonts w:eastAsia="黑体"/>
          <w:b w:val="0"/>
          <w:bCs w:val="0"/>
          <w:sz w:val="28"/>
          <w:szCs w:val="28"/>
        </w:rPr>
      </w:pPr>
      <w:bookmarkStart w:id="608" w:name="_Toc79998415"/>
      <w:bookmarkStart w:id="609" w:name="_Toc300678524"/>
      <w:bookmarkStart w:id="610" w:name="_Toc9178556"/>
      <w:bookmarkStart w:id="611" w:name="_Toc80006129"/>
      <w:bookmarkStart w:id="612" w:name="_Toc80006239"/>
      <w:bookmarkStart w:id="613" w:name="_Toc79998859"/>
      <w:r>
        <w:rPr>
          <w:rFonts w:eastAsia="黑体"/>
          <w:b w:val="0"/>
          <w:bCs w:val="0"/>
          <w:sz w:val="28"/>
          <w:szCs w:val="28"/>
        </w:rPr>
        <w:t>5.适用规范和标准</w:t>
      </w:r>
      <w:bookmarkEnd w:id="608"/>
      <w:bookmarkEnd w:id="609"/>
      <w:bookmarkEnd w:id="610"/>
      <w:bookmarkEnd w:id="611"/>
      <w:bookmarkEnd w:id="612"/>
      <w:bookmarkEnd w:id="613"/>
    </w:p>
    <w:p w14:paraId="245AF687">
      <w:pPr>
        <w:pStyle w:val="6"/>
        <w:rPr>
          <w:rFonts w:ascii="Times New Roman" w:hAnsi="Times New Roman" w:eastAsia="黑体"/>
          <w:b w:val="0"/>
          <w:bCs w:val="0"/>
          <w:sz w:val="24"/>
        </w:rPr>
      </w:pPr>
      <w:bookmarkStart w:id="614" w:name="_Toc300678525"/>
      <w:r>
        <w:rPr>
          <w:rFonts w:ascii="Times New Roman" w:hAnsi="Times New Roman" w:eastAsia="黑体"/>
          <w:b w:val="0"/>
          <w:bCs w:val="0"/>
          <w:sz w:val="24"/>
        </w:rPr>
        <w:t>5.1 适用的规范、标准和规程</w:t>
      </w:r>
      <w:bookmarkEnd w:id="614"/>
    </w:p>
    <w:p w14:paraId="425A29DC">
      <w:pPr>
        <w:spacing w:line="360" w:lineRule="auto"/>
        <w:ind w:firstLine="420" w:firstLineChars="200"/>
        <w:rPr>
          <w:szCs w:val="21"/>
        </w:rPr>
      </w:pPr>
      <w:r>
        <w:rPr>
          <w:szCs w:val="21"/>
        </w:rPr>
        <w:t>5.1.1 除合同另有约定外，本工程适用现行国家、行业和地方规范、标准和规程。适用于本工程的国家、行业和地方的规范、标准和规范等的名录见本章第三节。</w:t>
      </w:r>
    </w:p>
    <w:p w14:paraId="1F5475CD">
      <w:pPr>
        <w:spacing w:line="360" w:lineRule="auto"/>
        <w:ind w:firstLine="420" w:firstLineChars="200"/>
        <w:rPr>
          <w:szCs w:val="21"/>
        </w:rPr>
      </w:pPr>
      <w:r>
        <w:rPr>
          <w:szCs w:val="21"/>
        </w:rPr>
        <w:t>构成合同文件的任何内容与适用的规范、标准和规程之间出现矛盾，承包人应书面要求监理人予以澄清，除监理人有特别指示外，承包人应按照其中要求最严格的标准执行。</w:t>
      </w:r>
    </w:p>
    <w:p w14:paraId="0F425A23">
      <w:pPr>
        <w:spacing w:line="360" w:lineRule="auto"/>
        <w:ind w:firstLine="420" w:firstLineChars="200"/>
        <w:rPr>
          <w:szCs w:val="21"/>
        </w:rPr>
      </w:pPr>
      <w:r>
        <w:rPr>
          <w:szCs w:val="21"/>
        </w:rPr>
        <w:t>5.1.3 除合同另有约定外，材料、施工工艺和本工程都应依照本技术标准和要求以及适用的现行规范、标准和规程的最新版本执行。若适用的现行规范、标准和规程的最新版本是在基准日后颁布的，且相应标准发生变更并成为合同文件中最严格的标准，则应按合同条款的约定办理。</w:t>
      </w:r>
    </w:p>
    <w:p w14:paraId="7776A13F">
      <w:pPr>
        <w:pStyle w:val="6"/>
        <w:ind w:firstLine="480" w:firstLineChars="200"/>
        <w:rPr>
          <w:rFonts w:ascii="Times New Roman" w:hAnsi="Times New Roman" w:eastAsia="黑体"/>
          <w:b w:val="0"/>
          <w:bCs w:val="0"/>
          <w:sz w:val="24"/>
        </w:rPr>
      </w:pPr>
      <w:bookmarkStart w:id="615" w:name="_Toc300678526"/>
      <w:r>
        <w:rPr>
          <w:rFonts w:ascii="Times New Roman" w:hAnsi="Times New Roman" w:eastAsia="黑体"/>
          <w:b w:val="0"/>
          <w:bCs w:val="0"/>
          <w:sz w:val="24"/>
        </w:rPr>
        <w:t>5.2 特殊技术标准和要求</w:t>
      </w:r>
      <w:bookmarkEnd w:id="615"/>
    </w:p>
    <w:p w14:paraId="45455357">
      <w:pPr>
        <w:spacing w:line="360" w:lineRule="auto"/>
        <w:ind w:firstLine="420" w:firstLineChars="200"/>
        <w:rPr>
          <w:szCs w:val="21"/>
        </w:rPr>
      </w:pPr>
      <w:r>
        <w:rPr>
          <w:szCs w:val="21"/>
        </w:rPr>
        <w:t>5.2.1 适用本工程的特殊技术标准和要求见本章第二节。</w:t>
      </w:r>
    </w:p>
    <w:p w14:paraId="5A221240">
      <w:pPr>
        <w:spacing w:line="360" w:lineRule="auto"/>
        <w:ind w:firstLine="420" w:firstLineChars="200"/>
        <w:rPr>
          <w:szCs w:val="21"/>
        </w:rPr>
      </w:pPr>
      <w:r>
        <w:rPr>
          <w:szCs w:val="21"/>
        </w:rPr>
        <w:t>5.2.2 有合同约束力的图纸和其他设计文件中的有关文字说明是本节的组成内容。</w:t>
      </w:r>
    </w:p>
    <w:p w14:paraId="0CA91C40">
      <w:pPr>
        <w:pStyle w:val="5"/>
        <w:keepNext/>
        <w:keepLines/>
        <w:widowControl w:val="0"/>
        <w:jc w:val="left"/>
        <w:rPr>
          <w:rFonts w:eastAsia="黑体"/>
          <w:b w:val="0"/>
          <w:bCs w:val="0"/>
          <w:sz w:val="28"/>
          <w:szCs w:val="28"/>
        </w:rPr>
      </w:pPr>
      <w:bookmarkStart w:id="616" w:name="_Toc300678527"/>
      <w:bookmarkStart w:id="617" w:name="_Toc80006130"/>
      <w:bookmarkStart w:id="618" w:name="_Toc9178557"/>
      <w:bookmarkStart w:id="619" w:name="_Toc80006240"/>
      <w:bookmarkStart w:id="620" w:name="_Toc79998416"/>
      <w:bookmarkStart w:id="621" w:name="_Toc79998860"/>
      <w:r>
        <w:rPr>
          <w:rFonts w:eastAsia="黑体"/>
          <w:b w:val="0"/>
          <w:bCs w:val="0"/>
          <w:sz w:val="28"/>
          <w:szCs w:val="28"/>
        </w:rPr>
        <w:t>6.安全文明施工</w:t>
      </w:r>
      <w:bookmarkEnd w:id="616"/>
      <w:bookmarkEnd w:id="617"/>
      <w:bookmarkEnd w:id="618"/>
      <w:bookmarkEnd w:id="619"/>
      <w:bookmarkEnd w:id="620"/>
      <w:bookmarkEnd w:id="621"/>
    </w:p>
    <w:p w14:paraId="72B8D910">
      <w:pPr>
        <w:pStyle w:val="6"/>
        <w:rPr>
          <w:rFonts w:ascii="Times New Roman" w:hAnsi="Times New Roman" w:eastAsia="黑体"/>
          <w:b w:val="0"/>
          <w:bCs w:val="0"/>
          <w:sz w:val="24"/>
        </w:rPr>
      </w:pPr>
      <w:bookmarkStart w:id="622" w:name="_Toc300678528"/>
      <w:r>
        <w:rPr>
          <w:rFonts w:ascii="Times New Roman" w:hAnsi="Times New Roman" w:eastAsia="黑体"/>
          <w:b w:val="0"/>
          <w:bCs w:val="0"/>
          <w:sz w:val="24"/>
        </w:rPr>
        <w:t>6.1 安全防护</w:t>
      </w:r>
      <w:bookmarkEnd w:id="622"/>
    </w:p>
    <w:p w14:paraId="07F9D4F5">
      <w:pPr>
        <w:spacing w:line="360" w:lineRule="auto"/>
        <w:ind w:firstLine="420" w:firstLineChars="200"/>
        <w:rPr>
          <w:szCs w:val="21"/>
        </w:rPr>
      </w:pPr>
      <w:r>
        <w:rPr>
          <w:szCs w:val="21"/>
        </w:rPr>
        <w:t>6.1.1 在工程施工、竣工、交付及修补任何缺陷的过程中，承包人应当始终遵守国家和地方有关安全生产的法律、法规、规范、标准和规程等，按照合同条款的约定履行其安全施工职责。</w:t>
      </w:r>
    </w:p>
    <w:p w14:paraId="22607360">
      <w:pPr>
        <w:spacing w:line="360" w:lineRule="auto"/>
        <w:ind w:firstLine="420" w:firstLineChars="200"/>
        <w:rPr>
          <w:szCs w:val="21"/>
        </w:rPr>
      </w:pPr>
      <w:r>
        <w:rPr>
          <w:szCs w:val="21"/>
        </w:rPr>
        <w:t>6.1.2 承包人应坚持“安全第一，预防为主”的方针，建立、健全安全生产责任制度和安全生产教育培训制度。在整个工程施工期间，承包人应在施工场地（现场）设立、提供和维护并在有关工作完成或竣工后撤除：</w:t>
      </w:r>
    </w:p>
    <w:p w14:paraId="184E3B42">
      <w:pPr>
        <w:spacing w:line="360" w:lineRule="auto"/>
        <w:ind w:firstLine="420" w:firstLineChars="200"/>
        <w:rPr>
          <w:szCs w:val="21"/>
        </w:rPr>
      </w:pPr>
      <w:r>
        <w:rPr>
          <w:szCs w:val="21"/>
        </w:rPr>
        <w:t>（1）设立在现场入口显著位置的现场施工总平面图、总平面管理、安全生产、文明施工、环境保护、质量控制、材料管理等的规章制度和主要参建单位名称和工程概况等说明的图板；</w:t>
      </w:r>
    </w:p>
    <w:p w14:paraId="018EFA08">
      <w:pPr>
        <w:spacing w:line="360" w:lineRule="auto"/>
        <w:ind w:firstLine="420" w:firstLineChars="200"/>
        <w:rPr>
          <w:szCs w:val="21"/>
        </w:rPr>
      </w:pPr>
      <w:r>
        <w:rPr>
          <w:szCs w:val="21"/>
        </w:rPr>
        <w:t>（2）为确保工程安全施工须设立的足够的标志、宣传画、标语、指示牌、警告牌、火警、匪警和急救电话提示牌等等；</w:t>
      </w:r>
    </w:p>
    <w:p w14:paraId="3219A8D5">
      <w:pPr>
        <w:spacing w:line="360" w:lineRule="auto"/>
        <w:ind w:firstLine="420" w:firstLineChars="200"/>
        <w:rPr>
          <w:szCs w:val="21"/>
        </w:rPr>
      </w:pPr>
      <w:r>
        <w:rPr>
          <w:szCs w:val="21"/>
        </w:rPr>
        <w:t>（3）洞口和临边位置的安全防护设施，包括护身栏杆、脚手架、洞口盖板和加筋、竖井防护栏杆、防护棚、防护网、坡道等等；</w:t>
      </w:r>
    </w:p>
    <w:p w14:paraId="277E92C7">
      <w:pPr>
        <w:spacing w:line="360" w:lineRule="auto"/>
        <w:ind w:firstLine="420" w:firstLineChars="200"/>
        <w:rPr>
          <w:szCs w:val="21"/>
        </w:rPr>
      </w:pPr>
      <w:r>
        <w:rPr>
          <w:szCs w:val="21"/>
        </w:rPr>
        <w:t>（4）安全带、安全绳、安全帽、安全网、绝缘鞋、绝缘手套、防护口罩和防护衣等安全生产用品；</w:t>
      </w:r>
    </w:p>
    <w:p w14:paraId="77A4F788">
      <w:pPr>
        <w:spacing w:line="360" w:lineRule="auto"/>
        <w:ind w:firstLine="420" w:firstLineChars="200"/>
        <w:rPr>
          <w:szCs w:val="21"/>
        </w:rPr>
      </w:pPr>
      <w:r>
        <w:rPr>
          <w:szCs w:val="21"/>
        </w:rPr>
        <w:t>（5）所有机械设备包括各类电动工具的安全保护和接地装置和操作说明；</w:t>
      </w:r>
    </w:p>
    <w:p w14:paraId="70B74D4E">
      <w:pPr>
        <w:spacing w:line="360" w:lineRule="auto"/>
        <w:ind w:firstLine="420" w:firstLineChars="200"/>
        <w:rPr>
          <w:szCs w:val="21"/>
        </w:rPr>
      </w:pPr>
      <w:r>
        <w:rPr>
          <w:szCs w:val="21"/>
        </w:rPr>
        <w:t>（6）装备良好的临时急救站和配备称职的医护人员；</w:t>
      </w:r>
    </w:p>
    <w:p w14:paraId="288C8CF3">
      <w:pPr>
        <w:spacing w:line="360" w:lineRule="auto"/>
        <w:ind w:firstLine="420" w:firstLineChars="200"/>
        <w:rPr>
          <w:szCs w:val="21"/>
        </w:rPr>
      </w:pPr>
      <w:r>
        <w:rPr>
          <w:szCs w:val="21"/>
        </w:rPr>
        <w:t>（7）主要作业场所和临时安全疏散通道24小时36伏安全照明和必要的警示等以防止各种可能的事故；</w:t>
      </w:r>
    </w:p>
    <w:p w14:paraId="52F79924">
      <w:pPr>
        <w:spacing w:line="360" w:lineRule="auto"/>
        <w:ind w:firstLine="420" w:firstLineChars="200"/>
        <w:rPr>
          <w:szCs w:val="21"/>
        </w:rPr>
      </w:pPr>
      <w:r>
        <w:rPr>
          <w:szCs w:val="21"/>
        </w:rPr>
        <w:t>（8）足够数量的和合格的手提灭火器；</w:t>
      </w:r>
    </w:p>
    <w:p w14:paraId="3F249EC8">
      <w:pPr>
        <w:spacing w:line="360" w:lineRule="auto"/>
        <w:ind w:firstLine="420" w:firstLineChars="200"/>
        <w:rPr>
          <w:szCs w:val="21"/>
        </w:rPr>
      </w:pPr>
      <w:r>
        <w:rPr>
          <w:szCs w:val="21"/>
        </w:rPr>
        <w:t>（9）装备良好的易燃易爆物品仓库和相应的使用管理制度；</w:t>
      </w:r>
    </w:p>
    <w:p w14:paraId="0C6B5E6D">
      <w:pPr>
        <w:spacing w:line="360" w:lineRule="auto"/>
        <w:ind w:firstLine="420" w:firstLineChars="200"/>
        <w:rPr>
          <w:szCs w:val="21"/>
        </w:rPr>
      </w:pPr>
      <w:r>
        <w:rPr>
          <w:szCs w:val="21"/>
        </w:rPr>
        <w:t>（10）对涉及明火施工的工作制定诸如用火证等的管理制度；</w:t>
      </w:r>
    </w:p>
    <w:p w14:paraId="4F742DE8">
      <w:pPr>
        <w:spacing w:line="360" w:lineRule="auto"/>
        <w:ind w:firstLine="420" w:firstLineChars="200"/>
        <w:rPr>
          <w:szCs w:val="21"/>
        </w:rPr>
      </w:pPr>
      <w:r>
        <w:rPr>
          <w:szCs w:val="21"/>
        </w:rPr>
        <w:t>（11）其他：</w:t>
      </w:r>
      <w:r>
        <w:rPr>
          <w:szCs w:val="21"/>
          <w:u w:val="single"/>
        </w:rPr>
        <w:t xml:space="preserve">                               </w:t>
      </w:r>
      <w:r>
        <w:rPr>
          <w:szCs w:val="21"/>
        </w:rPr>
        <w:t>。</w:t>
      </w:r>
    </w:p>
    <w:p w14:paraId="197CDFF4">
      <w:pPr>
        <w:spacing w:line="360" w:lineRule="auto"/>
        <w:ind w:firstLine="420" w:firstLineChars="200"/>
        <w:rPr>
          <w:szCs w:val="21"/>
        </w:rPr>
      </w:pPr>
      <w:r>
        <w:rPr>
          <w:szCs w:val="21"/>
        </w:rPr>
        <w:t>6.1.3 安全文明施工费用必须专款专用，承包人应对其由于安全文明施工费用和施工安全措施不到位而发生的安全事故承担全部责任。</w:t>
      </w:r>
    </w:p>
    <w:p w14:paraId="258D05F1">
      <w:pPr>
        <w:spacing w:line="360" w:lineRule="auto"/>
        <w:ind w:firstLine="420" w:firstLineChars="200"/>
        <w:rPr>
          <w:szCs w:val="21"/>
        </w:rPr>
      </w:pPr>
      <w:r>
        <w:rPr>
          <w:szCs w:val="21"/>
        </w:rPr>
        <w:t>6.1.4 承包人应建立专门的施工场地（现场）安全生产管理机构，配备足够数量的和符合有关规定的专职安全生产管理人员，负责日常安全生产巡查和专项检查，召集和主持现场全体人员参加的安全生产例会（每周至少一次），负责安全技术交底和技术方案的安全把关，负责制定或审核安全隐患的整改措施并监督落实，负责安全资料的整理和管理，及时消除安全隐患，做好安全检查记录，确保所有的安全设施都处于良好的运转状态。承包人项目经理和专职安全生产管理人员均应当具备有效的安全生产考核合格证书。</w:t>
      </w:r>
    </w:p>
    <w:p w14:paraId="37720AEB">
      <w:pPr>
        <w:spacing w:line="360" w:lineRule="auto"/>
        <w:ind w:firstLine="420" w:firstLineChars="200"/>
        <w:rPr>
          <w:szCs w:val="21"/>
        </w:rPr>
      </w:pPr>
      <w:r>
        <w:rPr>
          <w:szCs w:val="21"/>
        </w:rPr>
        <w:t>6.1.5 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68842018">
      <w:pPr>
        <w:spacing w:line="360" w:lineRule="auto"/>
        <w:ind w:firstLine="420" w:firstLineChars="200"/>
        <w:rPr>
          <w:szCs w:val="21"/>
        </w:rPr>
      </w:pPr>
      <w:r>
        <w:rPr>
          <w:szCs w:val="21"/>
        </w:rPr>
        <w:t>6.1.6 承包人应为其进场施工人员配备必需的安全防护设施和设备，承包人还应为施工场地（现场）邻近地区的所有者和占有者、公众和其他人员，提供一切必要的临时道路、人行道、防护棚、围栏及警告等，以确保财产和人身安全以及最大程度地降低施工可能造成的不便。</w:t>
      </w:r>
    </w:p>
    <w:p w14:paraId="0BF11795">
      <w:pPr>
        <w:spacing w:line="360" w:lineRule="auto"/>
        <w:ind w:firstLine="420" w:firstLineChars="200"/>
        <w:rPr>
          <w:szCs w:val="21"/>
        </w:rPr>
      </w:pPr>
      <w:r>
        <w:rPr>
          <w:szCs w:val="21"/>
        </w:rPr>
        <w:t>6.1.7 承包人应在施工场地（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监理人的指示，经常补充或更换失效的警示和标志。</w:t>
      </w:r>
    </w:p>
    <w:p w14:paraId="07A7AC7C">
      <w:pPr>
        <w:spacing w:line="360" w:lineRule="auto"/>
        <w:ind w:firstLine="420" w:firstLineChars="200"/>
        <w:rPr>
          <w:szCs w:val="21"/>
        </w:rPr>
      </w:pPr>
      <w:r>
        <w:rPr>
          <w:szCs w:val="21"/>
        </w:rPr>
        <w:t>6.1.8 承包人应对施工场地（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3C1EF43B">
      <w:pPr>
        <w:spacing w:line="360" w:lineRule="auto"/>
        <w:ind w:firstLine="420" w:firstLineChars="200"/>
        <w:rPr>
          <w:szCs w:val="21"/>
        </w:rPr>
      </w:pPr>
      <w:r>
        <w:rPr>
          <w:szCs w:val="21"/>
        </w:rPr>
        <w:t>6.1.9 承包人应对所有用于提升的挂钩、挂环、钢丝绳、铁扁担等进行定期检测、检查和标定；如果监理人认为，任何此类设施已经损坏或有使用不当之处，承包人应立即以合格的产品进行更换；所有垂直和水平运输机械的搭设、顶升、使用和拆除必须严格依照现行有关法规、规章、规范、标准和规程等的要求。</w:t>
      </w:r>
    </w:p>
    <w:p w14:paraId="5937627A">
      <w:pPr>
        <w:spacing w:line="360" w:lineRule="auto"/>
        <w:ind w:firstLine="420" w:firstLineChars="200"/>
        <w:rPr>
          <w:szCs w:val="21"/>
        </w:rPr>
      </w:pPr>
      <w:r>
        <w:rPr>
          <w:szCs w:val="21"/>
        </w:rPr>
        <w:t>6.1.10 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1084F82A">
      <w:pPr>
        <w:spacing w:line="360" w:lineRule="auto"/>
        <w:ind w:firstLine="420" w:firstLineChars="200"/>
        <w:rPr>
          <w:szCs w:val="21"/>
        </w:rPr>
      </w:pPr>
      <w:r>
        <w:rPr>
          <w:szCs w:val="21"/>
        </w:rPr>
        <w:t>6.1.11 在永久工程和施工边坡、建筑物基坑、地下洞室等的开挖过程中，应根据其施工安全的需要和（或）监理人指示，安装必要的施工安全监测仪器，及时进行必要的施工安全监测，并定期将安全监测成果提交监理人，以防止引起任何沉降、变形或其他影响正常施工进度的损害。</w:t>
      </w:r>
    </w:p>
    <w:p w14:paraId="1D5C201F">
      <w:pPr>
        <w:spacing w:line="360" w:lineRule="auto"/>
        <w:ind w:firstLine="420" w:firstLineChars="200"/>
        <w:rPr>
          <w:szCs w:val="21"/>
        </w:rPr>
      </w:pPr>
      <w:r>
        <w:rPr>
          <w:szCs w:val="21"/>
        </w:rPr>
        <w:t>6.1.12 承包人应对任何施工中的永久工程进行必要的支撑或临时加固。除非承包人已获得监理人书面许可并按要求进行了必要的加固或支撑，不允许承包人在任何已完成的永久性结构上堆放超过设计允许荷载的任何材料、物品或设备。在任何情况下，承包人均应对其任何上述超载行为引起的后果负责，并承担相应的修缮费用。</w:t>
      </w:r>
    </w:p>
    <w:p w14:paraId="43F14F47">
      <w:pPr>
        <w:spacing w:line="360" w:lineRule="auto"/>
        <w:ind w:firstLine="420" w:firstLineChars="200"/>
        <w:rPr>
          <w:szCs w:val="21"/>
        </w:rPr>
      </w:pPr>
      <w:r>
        <w:rPr>
          <w:szCs w:val="21"/>
        </w:rPr>
        <w:t>6.1.13 承包人应成立应急救援小组，配备必要的应急救援器材和设备，制定灾害和生产安全事故的应急救援预案，并将应急救援预案报送监理人。应急救援预案应能随时组织应救专职人员、并定期组织演练。</w:t>
      </w:r>
    </w:p>
    <w:p w14:paraId="43EB113C">
      <w:pPr>
        <w:spacing w:line="360" w:lineRule="auto"/>
        <w:ind w:firstLine="420" w:firstLineChars="200"/>
        <w:rPr>
          <w:szCs w:val="21"/>
        </w:rPr>
      </w:pPr>
      <w:r>
        <w:rPr>
          <w:szCs w:val="21"/>
        </w:rPr>
        <w:t>6.1.14 施工过程中需要使用爆破或带炸药的工具等危险性施工方法时，承包人应提前通知监理人。经监理人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2983DCBD">
      <w:pPr>
        <w:spacing w:line="360" w:lineRule="auto"/>
        <w:ind w:firstLine="420" w:firstLineChars="200"/>
        <w:rPr>
          <w:szCs w:val="21"/>
        </w:rPr>
      </w:pPr>
      <w:r>
        <w:rPr>
          <w:szCs w:val="21"/>
        </w:rPr>
        <w:t>6.1.15 基坑支护与降水工程、土方开挖工程、模板工程、起重吊装工程、脚手架工程、拆除工程和爆破工程等达到一定规模和危险性较大的分部分项工程，承包人应当编制专项施工方案，其中深基坑、地下暗挖和高大模板工程的专项施工方案，还应组织专家进行论证和审查。</w:t>
      </w:r>
    </w:p>
    <w:p w14:paraId="2349F7CF">
      <w:pPr>
        <w:spacing w:line="360" w:lineRule="auto"/>
        <w:ind w:firstLine="420" w:firstLineChars="200"/>
        <w:rPr>
          <w:szCs w:val="21"/>
        </w:rPr>
      </w:pPr>
      <w:r>
        <w:rPr>
          <w:szCs w:val="21"/>
        </w:rPr>
        <w:t>6.1.16 承包人应按照合同条款的约定处理本工程施工过程中发生的事故。发生施工安全事故后，承包人必须立即报告监理人和发包人，并在事故发生后一小时内向发包人提交事故情况书面报告，并根据《生产安全事故报告和调查处理条例》的规定，及时向工程所在地县级以上地方人民政府安全生产监督管理部门和建设行政主管部门报告。情况紧急时，事故现场有关人员可以直接向工程所在地县级以上地方人民政府安全生产监督管理部门和建设行政主管部门报告。</w:t>
      </w:r>
    </w:p>
    <w:p w14:paraId="64064CF8">
      <w:pPr>
        <w:spacing w:line="360" w:lineRule="auto"/>
        <w:ind w:firstLine="420" w:firstLineChars="200"/>
        <w:rPr>
          <w:szCs w:val="21"/>
        </w:rPr>
      </w:pPr>
      <w:r>
        <w:rPr>
          <w:szCs w:val="21"/>
        </w:rPr>
        <w:t>6.1.17 承包人还应根据有关法律、法规、规定和条例等的要求，制定一套安全生产应急措施和程序，保证一旦出现任何安全事故，能立即保护好现场，抢救伤员和财产，保证施工生产的正常进行，防止损失扩大。</w:t>
      </w:r>
    </w:p>
    <w:p w14:paraId="1D3D1331">
      <w:pPr>
        <w:spacing w:line="360" w:lineRule="auto"/>
        <w:ind w:firstLine="420" w:firstLineChars="200"/>
        <w:rPr>
          <w:szCs w:val="21"/>
        </w:rPr>
      </w:pPr>
      <w:r>
        <w:rPr>
          <w:szCs w:val="21"/>
        </w:rPr>
        <w:t>6.1.18 安全防护方面的其他要求如下：</w:t>
      </w:r>
      <w:r>
        <w:rPr>
          <w:szCs w:val="21"/>
          <w:u w:val="single"/>
        </w:rPr>
        <w:t xml:space="preserve">     </w:t>
      </w:r>
      <w:r>
        <w:rPr>
          <w:szCs w:val="21"/>
        </w:rPr>
        <w:t>。</w:t>
      </w:r>
    </w:p>
    <w:p w14:paraId="6B1D4E77">
      <w:pPr>
        <w:pStyle w:val="6"/>
        <w:rPr>
          <w:rFonts w:ascii="Times New Roman" w:hAnsi="Times New Roman" w:eastAsia="黑体"/>
          <w:b w:val="0"/>
          <w:bCs w:val="0"/>
          <w:sz w:val="24"/>
        </w:rPr>
      </w:pPr>
      <w:bookmarkStart w:id="623" w:name="_Toc300678529"/>
      <w:r>
        <w:rPr>
          <w:rFonts w:ascii="Times New Roman" w:hAnsi="Times New Roman" w:eastAsia="黑体"/>
          <w:b w:val="0"/>
          <w:bCs w:val="0"/>
          <w:sz w:val="24"/>
        </w:rPr>
        <w:t>6.2 临时消防</w:t>
      </w:r>
      <w:bookmarkEnd w:id="623"/>
    </w:p>
    <w:p w14:paraId="08477A86">
      <w:pPr>
        <w:spacing w:line="360" w:lineRule="auto"/>
        <w:ind w:firstLine="420" w:firstLineChars="200"/>
        <w:rPr>
          <w:szCs w:val="21"/>
        </w:rPr>
      </w:pPr>
      <w:r>
        <w:rPr>
          <w:szCs w:val="21"/>
        </w:rPr>
        <w:t>6.2.1 承包人应建立消防安全责任制度，制定用火、用电和使用易燃易爆等危险品的消防安全管理制度和操作规程。各项制度和规程等应满足相关法律法规和政府消防管理机构的要求。</w:t>
      </w:r>
    </w:p>
    <w:p w14:paraId="11F7BEED">
      <w:pPr>
        <w:spacing w:line="360" w:lineRule="auto"/>
        <w:ind w:firstLine="420" w:firstLineChars="200"/>
        <w:rPr>
          <w:szCs w:val="21"/>
        </w:rPr>
      </w:pPr>
      <w:r>
        <w:rPr>
          <w:szCs w:val="21"/>
        </w:rPr>
        <w:t>6.2.2 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监理人和消防管理部门的审批和验收；承包人还应自费获得消防管理部门的临时消防证书。所有的临时消防设施属于承包人所有，至工程实际竣工时且永久性消防系统投入使用后从现场拆除。</w:t>
      </w:r>
    </w:p>
    <w:p w14:paraId="6913A2B1">
      <w:pPr>
        <w:spacing w:line="360" w:lineRule="auto"/>
        <w:ind w:firstLine="420" w:firstLineChars="200"/>
        <w:rPr>
          <w:szCs w:val="21"/>
        </w:rPr>
      </w:pPr>
      <w:r>
        <w:rPr>
          <w:szCs w:val="21"/>
        </w:rPr>
        <w:t>6.2.3 承包人应当成立由项目主要负责人担任组长的临时消防组或消防队，宣传消防基本知识和基本操作培训，组织消防演练，保证一旦发生火灾，能够组织有效的自救，保护生命和财产安全。</w:t>
      </w:r>
    </w:p>
    <w:p w14:paraId="7D71A5FE">
      <w:pPr>
        <w:spacing w:line="360" w:lineRule="auto"/>
        <w:ind w:firstLine="420" w:firstLineChars="200"/>
        <w:rPr>
          <w:szCs w:val="21"/>
        </w:rPr>
      </w:pPr>
      <w:r>
        <w:rPr>
          <w:szCs w:val="21"/>
        </w:rPr>
        <w:t>6.2.4 施工场地（现场）内的易燃、易爆物品应单独和安全地存放，设专人进行存放和领用管理。施工场地（现场）储有或正在使用易燃、易爆或可燃材料时或有明火施工的工序，应当实行严格的“用火证”管理制度。</w:t>
      </w:r>
    </w:p>
    <w:p w14:paraId="2DC16D27">
      <w:pPr>
        <w:spacing w:line="360" w:lineRule="auto"/>
        <w:ind w:firstLine="424" w:firstLineChars="202"/>
        <w:rPr>
          <w:szCs w:val="21"/>
        </w:rPr>
      </w:pPr>
      <w:r>
        <w:rPr>
          <w:szCs w:val="21"/>
        </w:rPr>
        <w:t>6.2.5 临时消防方面的其他要求如下：</w:t>
      </w:r>
      <w:r>
        <w:rPr>
          <w:szCs w:val="21"/>
          <w:u w:val="single"/>
        </w:rPr>
        <w:t xml:space="preserve">     </w:t>
      </w:r>
      <w:r>
        <w:rPr>
          <w:szCs w:val="21"/>
        </w:rPr>
        <w:t>。</w:t>
      </w:r>
    </w:p>
    <w:p w14:paraId="000427BF">
      <w:pPr>
        <w:pStyle w:val="6"/>
        <w:rPr>
          <w:rFonts w:ascii="Times New Roman" w:hAnsi="Times New Roman" w:eastAsia="黑体"/>
          <w:b w:val="0"/>
          <w:bCs w:val="0"/>
          <w:sz w:val="24"/>
        </w:rPr>
      </w:pPr>
      <w:bookmarkStart w:id="624" w:name="_Toc300678530"/>
      <w:r>
        <w:rPr>
          <w:rFonts w:ascii="Times New Roman" w:hAnsi="Times New Roman" w:eastAsia="黑体"/>
          <w:b w:val="0"/>
          <w:bCs w:val="0"/>
          <w:sz w:val="24"/>
        </w:rPr>
        <w:t>6.3 临时供电</w:t>
      </w:r>
      <w:bookmarkEnd w:id="624"/>
    </w:p>
    <w:p w14:paraId="6C0A7628">
      <w:pPr>
        <w:spacing w:line="360" w:lineRule="auto"/>
        <w:ind w:firstLine="420" w:firstLineChars="200"/>
        <w:rPr>
          <w:szCs w:val="21"/>
        </w:rPr>
      </w:pPr>
      <w:r>
        <w:rPr>
          <w:szCs w:val="21"/>
        </w:rPr>
        <w:t>6.3.1 承包人应当根据《施工现场临时用电安全技术规范》（JGJ 46—2005）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48A5F81B">
      <w:pPr>
        <w:spacing w:line="360" w:lineRule="auto"/>
        <w:ind w:firstLine="420" w:firstLineChars="200"/>
        <w:rPr>
          <w:szCs w:val="21"/>
        </w:rPr>
      </w:pPr>
      <w:r>
        <w:rPr>
          <w:szCs w:val="21"/>
        </w:rPr>
        <w:t>6.3.2 承包人应为施工场地（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7B08607C">
      <w:pPr>
        <w:spacing w:line="360" w:lineRule="auto"/>
        <w:ind w:firstLine="420" w:firstLineChars="200"/>
        <w:rPr>
          <w:szCs w:val="21"/>
        </w:rPr>
      </w:pPr>
      <w:r>
        <w:rPr>
          <w:szCs w:val="21"/>
        </w:rPr>
        <w:t>6.3.3 临时供电系统的电缆、电线、配电箱、控制柜、开关箱、漏电保护器等材料设备均应当具有生产（制造）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地面明设，并应避免机械损伤和介质腐蚀。埋地电缆路径应设方位标志。各种配电设备均设有防止漏电和防雨防水设施。</w:t>
      </w:r>
    </w:p>
    <w:p w14:paraId="0498A56B">
      <w:pPr>
        <w:spacing w:line="360" w:lineRule="auto"/>
        <w:ind w:firstLine="420" w:firstLineChars="200"/>
        <w:rPr>
          <w:szCs w:val="21"/>
        </w:rPr>
      </w:pPr>
      <w:r>
        <w:rPr>
          <w:szCs w:val="21"/>
        </w:rPr>
        <w:t>6.3.4 承包人应在施工作业区、施工道路、临时设施、办公区和生活区设置足够的照明，地下工程照明系统的电压不得高于36V，在潮湿和易触及带电体场所的照明供电电压不应大于24V。不便于使用电器照明的工作面应采用特殊照明设施。</w:t>
      </w:r>
    </w:p>
    <w:p w14:paraId="5F207B41">
      <w:pPr>
        <w:spacing w:line="360" w:lineRule="auto"/>
        <w:ind w:firstLine="420" w:firstLineChars="200"/>
        <w:rPr>
          <w:szCs w:val="21"/>
        </w:rPr>
      </w:pPr>
      <w:r>
        <w:rPr>
          <w:szCs w:val="21"/>
        </w:rPr>
        <w:t>6.3.5 凡可能漏电伤人或易受雷击的电器及建筑物均应设置接地和避雷装置。承包人应负责避雷装置的采购、安装、管理和维修，并建立定期检查制度。</w:t>
      </w:r>
    </w:p>
    <w:p w14:paraId="1DF1D04C">
      <w:pPr>
        <w:spacing w:line="360" w:lineRule="auto"/>
        <w:ind w:firstLine="424" w:firstLineChars="202"/>
        <w:rPr>
          <w:szCs w:val="21"/>
        </w:rPr>
      </w:pPr>
      <w:r>
        <w:rPr>
          <w:szCs w:val="21"/>
        </w:rPr>
        <w:t>6.3.6 临时用电方面的其他要求如下：</w:t>
      </w:r>
      <w:r>
        <w:rPr>
          <w:szCs w:val="21"/>
          <w:u w:val="single"/>
        </w:rPr>
        <w:t xml:space="preserve">     </w:t>
      </w:r>
      <w:r>
        <w:rPr>
          <w:szCs w:val="21"/>
        </w:rPr>
        <w:t>。</w:t>
      </w:r>
    </w:p>
    <w:p w14:paraId="5D6CCB42">
      <w:pPr>
        <w:pStyle w:val="6"/>
        <w:rPr>
          <w:rFonts w:ascii="Times New Roman" w:hAnsi="Times New Roman" w:eastAsia="黑体"/>
          <w:b w:val="0"/>
          <w:bCs w:val="0"/>
          <w:sz w:val="24"/>
        </w:rPr>
      </w:pPr>
      <w:bookmarkStart w:id="625" w:name="_Toc300678531"/>
      <w:r>
        <w:rPr>
          <w:rFonts w:ascii="Times New Roman" w:hAnsi="Times New Roman" w:eastAsia="黑体"/>
          <w:b w:val="0"/>
          <w:bCs w:val="0"/>
          <w:sz w:val="24"/>
        </w:rPr>
        <w:t>6.4 劳动保护</w:t>
      </w:r>
      <w:bookmarkEnd w:id="625"/>
    </w:p>
    <w:p w14:paraId="1FFF70E1">
      <w:pPr>
        <w:spacing w:line="360" w:lineRule="auto"/>
        <w:ind w:firstLine="420" w:firstLineChars="200"/>
        <w:rPr>
          <w:szCs w:val="21"/>
        </w:rPr>
      </w:pPr>
      <w:r>
        <w:rPr>
          <w:szCs w:val="21"/>
        </w:rPr>
        <w:t>6.4.1 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310B99D6">
      <w:pPr>
        <w:spacing w:line="360" w:lineRule="auto"/>
        <w:ind w:firstLine="420" w:firstLineChars="200"/>
        <w:rPr>
          <w:szCs w:val="21"/>
        </w:rPr>
      </w:pPr>
      <w:r>
        <w:rPr>
          <w:szCs w:val="21"/>
        </w:rPr>
        <w:t>6.4.2 承包人应按照国家《劳动保护法》的规定，保障现场施工人员的劳动安全。承包人应为本合同下雇佣的职员和工人提供适当和充分的劳动保护，包括但不限于安全防护、防寒、防雨、防尘、绝缘保护、常用药品、急救设备、传染病预防等。</w:t>
      </w:r>
    </w:p>
    <w:p w14:paraId="61422724">
      <w:pPr>
        <w:spacing w:line="360" w:lineRule="auto"/>
        <w:ind w:firstLine="420" w:firstLineChars="200"/>
        <w:rPr>
          <w:szCs w:val="21"/>
        </w:rPr>
      </w:pPr>
      <w:r>
        <w:rPr>
          <w:szCs w:val="21"/>
        </w:rPr>
        <w:t>6.4.3 承包人应为其履行本合同所雇佣的职员和工人提供和维护任何必要的膳宿条件和生活环境，包括但不限于宿舍、围栏、供水（饮用及其他目的用水）、供电、卫生设备、食堂及炊具、防火及灭火设备、供热、家具及其他正常膳宿条件和生活环境所需的必需品，并应考虑宗教和民族习惯。</w:t>
      </w:r>
    </w:p>
    <w:p w14:paraId="754BF406">
      <w:pPr>
        <w:spacing w:line="360" w:lineRule="auto"/>
        <w:ind w:firstLine="420" w:firstLineChars="200"/>
        <w:rPr>
          <w:szCs w:val="21"/>
        </w:rPr>
      </w:pPr>
      <w:r>
        <w:rPr>
          <w:szCs w:val="21"/>
        </w:rPr>
        <w:t>6.4.4 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7BD93FFD">
      <w:pPr>
        <w:spacing w:line="360" w:lineRule="auto"/>
        <w:ind w:firstLine="420" w:firstLineChars="200"/>
        <w:rPr>
          <w:szCs w:val="21"/>
        </w:rPr>
      </w:pPr>
      <w:r>
        <w:rPr>
          <w:szCs w:val="21"/>
        </w:rPr>
        <w:t>6.4.5 承包人应在现场设立专门的临时医疗站，配备足够的设施、药物和称职的医务人员，承包人还应准备急救担架，用于一旦发生安全事故时对受伤人员的急救。</w:t>
      </w:r>
    </w:p>
    <w:p w14:paraId="1518A049">
      <w:pPr>
        <w:spacing w:line="360" w:lineRule="auto"/>
        <w:ind w:firstLine="420" w:firstLineChars="200"/>
        <w:rPr>
          <w:szCs w:val="21"/>
        </w:rPr>
      </w:pPr>
      <w:r>
        <w:rPr>
          <w:szCs w:val="21"/>
        </w:rPr>
        <w:t>6.4.6 劳动保护方面的其他要求如下：</w:t>
      </w:r>
      <w:r>
        <w:rPr>
          <w:szCs w:val="21"/>
          <w:u w:val="single"/>
        </w:rPr>
        <w:t xml:space="preserve">     </w:t>
      </w:r>
      <w:r>
        <w:rPr>
          <w:szCs w:val="21"/>
        </w:rPr>
        <w:t>。</w:t>
      </w:r>
    </w:p>
    <w:p w14:paraId="2EED8C14">
      <w:pPr>
        <w:pStyle w:val="6"/>
        <w:rPr>
          <w:rFonts w:ascii="Times New Roman" w:hAnsi="Times New Roman" w:eastAsia="黑体"/>
          <w:b w:val="0"/>
          <w:bCs w:val="0"/>
          <w:sz w:val="24"/>
        </w:rPr>
      </w:pPr>
      <w:bookmarkStart w:id="626" w:name="_Toc300678532"/>
      <w:r>
        <w:rPr>
          <w:rFonts w:ascii="Times New Roman" w:hAnsi="Times New Roman" w:eastAsia="黑体"/>
          <w:b w:val="0"/>
          <w:bCs w:val="0"/>
          <w:sz w:val="24"/>
        </w:rPr>
        <w:t>6.5 脚手架</w:t>
      </w:r>
      <w:bookmarkEnd w:id="626"/>
    </w:p>
    <w:p w14:paraId="3586D24C">
      <w:pPr>
        <w:spacing w:line="360" w:lineRule="auto"/>
        <w:ind w:firstLine="420" w:firstLineChars="200"/>
        <w:rPr>
          <w:szCs w:val="21"/>
        </w:rPr>
      </w:pPr>
      <w:r>
        <w:rPr>
          <w:szCs w:val="21"/>
        </w:rPr>
        <w:t>6.5.1 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49FAB587">
      <w:pPr>
        <w:spacing w:line="360" w:lineRule="auto"/>
        <w:ind w:firstLine="420" w:firstLineChars="200"/>
        <w:rPr>
          <w:szCs w:val="21"/>
        </w:rPr>
      </w:pPr>
      <w:r>
        <w:rPr>
          <w:szCs w:val="21"/>
        </w:rPr>
        <w:t>6.5.2 所有脚手架，尤其是大型、复杂、高耸和非常规脚手架，要编制专项施工方案，还应当经过安全验算，脚手架安全验算结果必须报送监理人核查后方可实施。</w:t>
      </w:r>
    </w:p>
    <w:p w14:paraId="0D4B8479">
      <w:pPr>
        <w:spacing w:line="360" w:lineRule="auto"/>
        <w:ind w:firstLine="420" w:firstLineChars="200"/>
        <w:rPr>
          <w:szCs w:val="21"/>
        </w:rPr>
      </w:pPr>
      <w:r>
        <w:rPr>
          <w:szCs w:val="21"/>
        </w:rPr>
        <w:t>6.5.3 搭设爬架、挂架、超高脚手架等特种或新型脚手架时，承包人应确保此类脚手架的安全性和保证此类脚手架已经过有关行政管理部门允许使用的批准，并承担与此有关的一切费用。</w:t>
      </w:r>
    </w:p>
    <w:p w14:paraId="15B42E9D">
      <w:pPr>
        <w:spacing w:line="360" w:lineRule="auto"/>
        <w:ind w:firstLine="420" w:firstLineChars="200"/>
        <w:rPr>
          <w:szCs w:val="21"/>
        </w:rPr>
      </w:pPr>
      <w:r>
        <w:rPr>
          <w:szCs w:val="21"/>
        </w:rPr>
        <w:t>6.5.4 承包人应当加强脚手架的日常安全巡查，及时对其中的安全隐患进行整改，确保脚手架使用安全。雨、雪、雾、霜和大风等天气后，承包人必须对脚手架进行安全巡查，并及时消除安全隐患。</w:t>
      </w:r>
    </w:p>
    <w:p w14:paraId="07323913">
      <w:pPr>
        <w:spacing w:line="360" w:lineRule="auto"/>
        <w:ind w:firstLine="420" w:firstLineChars="200"/>
        <w:rPr>
          <w:szCs w:val="21"/>
        </w:rPr>
      </w:pPr>
      <w:r>
        <w:rPr>
          <w:szCs w:val="21"/>
        </w:rPr>
        <w:t>6.5.5 承包人应允许发包人、监理人、专业分包人、独立承包人（如果有）和有关行政管理部门或者机构免费使用承包人在现场搭设的任何已有脚手架，并就其安全使用做必要交底说明。承包人在拆除任何脚手架前，应书面请示监理人他将要拆除的脚手架是否为发包人、监理人、专业分包人、独立承包人（如果有）和政府有关机构所需，只有在获得监理人书面批准后，承包人才能拆除相关脚手架，否则承包人应自费重新搭设。</w:t>
      </w:r>
    </w:p>
    <w:p w14:paraId="4483D5F7">
      <w:pPr>
        <w:spacing w:line="360" w:lineRule="auto"/>
        <w:ind w:firstLine="420" w:firstLineChars="200"/>
        <w:rPr>
          <w:szCs w:val="21"/>
        </w:rPr>
      </w:pPr>
      <w:r>
        <w:rPr>
          <w:szCs w:val="21"/>
        </w:rPr>
        <w:t>6.5.6 脚手架的其他要求如下：</w:t>
      </w:r>
      <w:r>
        <w:rPr>
          <w:szCs w:val="21"/>
          <w:u w:val="single"/>
        </w:rPr>
        <w:t xml:space="preserve">     </w:t>
      </w:r>
      <w:r>
        <w:rPr>
          <w:szCs w:val="21"/>
        </w:rPr>
        <w:t>。</w:t>
      </w:r>
    </w:p>
    <w:p w14:paraId="02B1B7D5">
      <w:pPr>
        <w:pStyle w:val="6"/>
        <w:rPr>
          <w:rFonts w:ascii="Times New Roman" w:hAnsi="Times New Roman" w:eastAsia="黑体"/>
          <w:b w:val="0"/>
          <w:bCs w:val="0"/>
          <w:sz w:val="24"/>
        </w:rPr>
      </w:pPr>
      <w:bookmarkStart w:id="627" w:name="_Toc300678533"/>
      <w:r>
        <w:rPr>
          <w:rFonts w:ascii="Times New Roman" w:hAnsi="Times New Roman" w:eastAsia="黑体"/>
          <w:b w:val="0"/>
          <w:bCs w:val="0"/>
          <w:sz w:val="24"/>
        </w:rPr>
        <w:t>6.6 施工安全措施计划</w:t>
      </w:r>
      <w:bookmarkEnd w:id="627"/>
    </w:p>
    <w:p w14:paraId="7631CB18">
      <w:pPr>
        <w:spacing w:line="360" w:lineRule="auto"/>
        <w:ind w:firstLine="420" w:firstLineChars="200"/>
        <w:rPr>
          <w:szCs w:val="21"/>
        </w:rPr>
      </w:pPr>
      <w:r>
        <w:rPr>
          <w:szCs w:val="21"/>
        </w:rPr>
        <w:t>6.6.1 承包人应根据《中华人民共和国安全生产法》、《职业健康安全管理体系规范》、《中华人民共和国消防法》、《中华人民共和国道路交通安全法》、《中华人民共和国传染病防治法实施办法》和地方有关的法规等，按照合同条款的约定，编制一份施工安全措施计划，报送监理人审批。</w:t>
      </w:r>
    </w:p>
    <w:p w14:paraId="10DB93C1">
      <w:pPr>
        <w:spacing w:line="360" w:lineRule="auto"/>
        <w:ind w:firstLine="420" w:firstLineChars="200"/>
        <w:rPr>
          <w:szCs w:val="21"/>
        </w:rPr>
      </w:pPr>
      <w:r>
        <w:rPr>
          <w:szCs w:val="21"/>
        </w:rPr>
        <w:t>6.6.2 施工安全措施计划是承包人阐明其安全管理方针、管理体系、安全制度和安全措施等的文件，其内容应当反映现行法律法规规定的和合同条款约定的以及本条上述约定的承包人安全职责，包括但不限于：</w:t>
      </w:r>
    </w:p>
    <w:p w14:paraId="0CCF5A4C">
      <w:pPr>
        <w:spacing w:line="360" w:lineRule="auto"/>
        <w:rPr>
          <w:szCs w:val="21"/>
        </w:rPr>
      </w:pPr>
      <w:r>
        <w:rPr>
          <w:szCs w:val="21"/>
        </w:rPr>
        <w:t xml:space="preserve">    （1）施工安全管理机构的设置；</w:t>
      </w:r>
    </w:p>
    <w:p w14:paraId="3762DA27">
      <w:pPr>
        <w:spacing w:line="360" w:lineRule="auto"/>
        <w:rPr>
          <w:szCs w:val="21"/>
        </w:rPr>
      </w:pPr>
      <w:r>
        <w:rPr>
          <w:szCs w:val="21"/>
        </w:rPr>
        <w:t xml:space="preserve">    （2）专职安全管理人员的配备；</w:t>
      </w:r>
    </w:p>
    <w:p w14:paraId="668CE24F">
      <w:pPr>
        <w:spacing w:line="360" w:lineRule="auto"/>
        <w:rPr>
          <w:szCs w:val="21"/>
        </w:rPr>
      </w:pPr>
      <w:r>
        <w:rPr>
          <w:szCs w:val="21"/>
        </w:rPr>
        <w:t xml:space="preserve">    （3）安全责任制度和管理措施；</w:t>
      </w:r>
    </w:p>
    <w:p w14:paraId="44DBA383">
      <w:pPr>
        <w:spacing w:line="360" w:lineRule="auto"/>
        <w:rPr>
          <w:szCs w:val="21"/>
        </w:rPr>
      </w:pPr>
      <w:r>
        <w:rPr>
          <w:szCs w:val="21"/>
        </w:rPr>
        <w:t xml:space="preserve">    （4）安全教育和培训制度及管理措施；</w:t>
      </w:r>
    </w:p>
    <w:p w14:paraId="5FE8A314">
      <w:pPr>
        <w:spacing w:line="360" w:lineRule="auto"/>
        <w:rPr>
          <w:szCs w:val="21"/>
        </w:rPr>
      </w:pPr>
      <w:r>
        <w:rPr>
          <w:szCs w:val="21"/>
        </w:rPr>
        <w:t xml:space="preserve">    （5）各项安全生产规章制度和操作规程；</w:t>
      </w:r>
    </w:p>
    <w:p w14:paraId="07DDCDDA">
      <w:pPr>
        <w:spacing w:line="360" w:lineRule="auto"/>
        <w:rPr>
          <w:szCs w:val="21"/>
        </w:rPr>
      </w:pPr>
      <w:r>
        <w:rPr>
          <w:szCs w:val="21"/>
        </w:rPr>
        <w:t xml:space="preserve">    （6）各项施工安全措施和防护措施；</w:t>
      </w:r>
    </w:p>
    <w:p w14:paraId="4E747396">
      <w:pPr>
        <w:spacing w:line="360" w:lineRule="auto"/>
        <w:rPr>
          <w:szCs w:val="21"/>
        </w:rPr>
      </w:pPr>
      <w:r>
        <w:rPr>
          <w:szCs w:val="21"/>
        </w:rPr>
        <w:t xml:space="preserve">    （7）危险品管理和使用制度；</w:t>
      </w:r>
    </w:p>
    <w:p w14:paraId="73124380">
      <w:pPr>
        <w:spacing w:line="360" w:lineRule="auto"/>
        <w:rPr>
          <w:szCs w:val="21"/>
        </w:rPr>
      </w:pPr>
      <w:r>
        <w:rPr>
          <w:szCs w:val="21"/>
        </w:rPr>
        <w:t xml:space="preserve">    （8）安全设施、设备、器材和劳动保护用品的配置；</w:t>
      </w:r>
    </w:p>
    <w:p w14:paraId="1B5F7FEB">
      <w:pPr>
        <w:spacing w:line="360" w:lineRule="auto"/>
        <w:rPr>
          <w:szCs w:val="21"/>
        </w:rPr>
      </w:pPr>
      <w:r>
        <w:rPr>
          <w:szCs w:val="21"/>
        </w:rPr>
        <w:t xml:space="preserve">    （9）其他：</w:t>
      </w:r>
    </w:p>
    <w:p w14:paraId="764DE387">
      <w:pPr>
        <w:spacing w:line="360" w:lineRule="auto"/>
        <w:ind w:firstLine="420" w:firstLineChars="200"/>
        <w:rPr>
          <w:szCs w:val="21"/>
        </w:rPr>
      </w:pPr>
      <w:r>
        <w:rPr>
          <w:szCs w:val="21"/>
        </w:rPr>
        <w:t>施工安全措施的项目和范围，应符合国家颁发的《安全技术措施计划的项目总名称表》及其附录H、I、J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00B64B68">
      <w:pPr>
        <w:spacing w:line="360" w:lineRule="auto"/>
        <w:ind w:firstLine="420" w:firstLineChars="200"/>
        <w:rPr>
          <w:szCs w:val="21"/>
        </w:rPr>
      </w:pPr>
      <w:r>
        <w:rPr>
          <w:szCs w:val="21"/>
        </w:rPr>
        <w:t>6.6.3 施工安全措施计划应当在合同条款约定的期限内报送监理人。承包人应当严格执行经监理人批准的施工安全措施计划，并及时补充、修订和完善施工安全措施计划，确保安全生产。</w:t>
      </w:r>
    </w:p>
    <w:p w14:paraId="19788A69">
      <w:pPr>
        <w:pStyle w:val="6"/>
        <w:rPr>
          <w:rFonts w:ascii="Times New Roman" w:hAnsi="Times New Roman" w:eastAsia="黑体"/>
          <w:b w:val="0"/>
          <w:bCs w:val="0"/>
          <w:sz w:val="24"/>
        </w:rPr>
      </w:pPr>
      <w:bookmarkStart w:id="628" w:name="_Toc300678534"/>
      <w:r>
        <w:rPr>
          <w:rFonts w:ascii="Times New Roman" w:hAnsi="Times New Roman" w:eastAsia="黑体"/>
          <w:b w:val="0"/>
          <w:bCs w:val="0"/>
          <w:sz w:val="24"/>
        </w:rPr>
        <w:t>6.7 文明施工</w:t>
      </w:r>
      <w:bookmarkEnd w:id="628"/>
    </w:p>
    <w:p w14:paraId="1BC7F69B">
      <w:pPr>
        <w:spacing w:line="360" w:lineRule="auto"/>
        <w:ind w:firstLine="420" w:firstLineChars="200"/>
        <w:rPr>
          <w:szCs w:val="21"/>
        </w:rPr>
      </w:pPr>
      <w:r>
        <w:rPr>
          <w:szCs w:val="21"/>
        </w:rPr>
        <w:t>6.7.1 承包人应遵守国家和工程所在地有关法规、规范、规程和标准的规定，履行文明施工义务，确保文明施工专项费用专款专用。</w:t>
      </w:r>
    </w:p>
    <w:p w14:paraId="29F62EBB">
      <w:pPr>
        <w:spacing w:line="360" w:lineRule="auto"/>
        <w:ind w:firstLine="420" w:firstLineChars="200"/>
        <w:rPr>
          <w:szCs w:val="21"/>
        </w:rPr>
      </w:pPr>
      <w:r>
        <w:rPr>
          <w:szCs w:val="21"/>
        </w:rPr>
        <w:t>6.7.2 承包人应当规范现场施工秩序，实行标准化管理：</w:t>
      </w:r>
    </w:p>
    <w:p w14:paraId="72A784B2">
      <w:pPr>
        <w:spacing w:line="360" w:lineRule="auto"/>
        <w:ind w:firstLine="420" w:firstLineChars="200"/>
        <w:rPr>
          <w:szCs w:val="21"/>
        </w:rPr>
      </w:pPr>
      <w:r>
        <w:rPr>
          <w:szCs w:val="21"/>
        </w:rPr>
        <w:t>（1）承包人的施工场地（现场）必须干净</w:t>
      </w:r>
      <w:r>
        <w:rPr>
          <w:rFonts w:hint="eastAsia"/>
          <w:szCs w:val="21"/>
        </w:rPr>
        <w:t>整洁</w:t>
      </w:r>
      <w:r>
        <w:rPr>
          <w:szCs w:val="21"/>
        </w:rPr>
        <w:t>、做到无积水、无淤泥、无杂物，材料堆放整齐；</w:t>
      </w:r>
    </w:p>
    <w:p w14:paraId="68DDAD0C">
      <w:pPr>
        <w:spacing w:line="360" w:lineRule="auto"/>
        <w:ind w:right="-174" w:rightChars="-83" w:firstLine="420" w:firstLineChars="200"/>
        <w:rPr>
          <w:szCs w:val="21"/>
        </w:rPr>
      </w:pPr>
      <w:r>
        <w:rPr>
          <w:szCs w:val="21"/>
        </w:rPr>
        <w:t>（2）施工场地（现场）应进行硬化处理，定期定时洒水，做好防治扬尘和大气污染工作；</w:t>
      </w:r>
    </w:p>
    <w:p w14:paraId="730633DB">
      <w:pPr>
        <w:spacing w:line="360" w:lineRule="auto"/>
        <w:ind w:firstLine="420" w:firstLineChars="200"/>
        <w:rPr>
          <w:szCs w:val="21"/>
        </w:rPr>
      </w:pPr>
      <w:r>
        <w:rPr>
          <w:szCs w:val="21"/>
        </w:rPr>
        <w:t>（3）严格遵守“工完、料尽、场地净”的原则，不留垃圾、不留剩余施工材料和施工机具，各种设备运转正常；</w:t>
      </w:r>
    </w:p>
    <w:p w14:paraId="1A5BF619">
      <w:pPr>
        <w:spacing w:line="360" w:lineRule="auto"/>
        <w:ind w:firstLine="420" w:firstLineChars="200"/>
        <w:rPr>
          <w:szCs w:val="21"/>
        </w:rPr>
      </w:pPr>
      <w:r>
        <w:rPr>
          <w:szCs w:val="21"/>
        </w:rPr>
        <w:t>（4）承包人修建的施工临时设施应符合监理人批准的施工规划要求，并应满足本节规定的各项安全要求；</w:t>
      </w:r>
    </w:p>
    <w:p w14:paraId="3F69570C">
      <w:pPr>
        <w:spacing w:line="360" w:lineRule="auto"/>
        <w:ind w:firstLine="420" w:firstLineChars="200"/>
        <w:rPr>
          <w:szCs w:val="21"/>
        </w:rPr>
      </w:pPr>
      <w:r>
        <w:rPr>
          <w:szCs w:val="21"/>
        </w:rPr>
        <w:t>（5）监理人可要求承包人在施工场地（现场）设置各级承包人的安全文明施工责任牌等文明施工警示牌；</w:t>
      </w:r>
    </w:p>
    <w:p w14:paraId="30C38495">
      <w:pPr>
        <w:spacing w:line="360" w:lineRule="auto"/>
        <w:ind w:firstLine="420" w:firstLineChars="200"/>
        <w:rPr>
          <w:szCs w:val="21"/>
        </w:rPr>
      </w:pPr>
      <w:r>
        <w:rPr>
          <w:szCs w:val="21"/>
        </w:rPr>
        <w:t>（6）材料进入现场应按指定位置堆放整齐，不得影响现场施工和堵塞施工、消防通道。材料堆放场地应有专职的管理人员；</w:t>
      </w:r>
    </w:p>
    <w:p w14:paraId="0B0062EF">
      <w:pPr>
        <w:spacing w:line="360" w:lineRule="auto"/>
        <w:ind w:firstLine="420" w:firstLineChars="200"/>
        <w:rPr>
          <w:szCs w:val="21"/>
        </w:rPr>
      </w:pPr>
      <w:r>
        <w:rPr>
          <w:szCs w:val="21"/>
        </w:rPr>
        <w:t>（7）施工和安装用的各种扣件、紧固件、绳索具、小型配件、镙钉等应在专设的仓库内装箱放置；</w:t>
      </w:r>
    </w:p>
    <w:p w14:paraId="122B7D4E">
      <w:pPr>
        <w:spacing w:line="360" w:lineRule="auto"/>
        <w:ind w:firstLine="420" w:firstLineChars="200"/>
        <w:rPr>
          <w:szCs w:val="21"/>
        </w:rPr>
      </w:pPr>
      <w:r>
        <w:rPr>
          <w:szCs w:val="21"/>
        </w:rPr>
        <w:t>（8）现场风、水管及照明电线的布置应安全、合理、规范、有序，做到整齐美观。不得随意架设  和造成隐患或影响施工。</w:t>
      </w:r>
    </w:p>
    <w:p w14:paraId="5D4F14B7">
      <w:pPr>
        <w:spacing w:line="360" w:lineRule="auto"/>
        <w:ind w:right="42" w:rightChars="20" w:firstLine="420" w:firstLineChars="200"/>
        <w:rPr>
          <w:szCs w:val="21"/>
        </w:rPr>
      </w:pPr>
      <w:r>
        <w:rPr>
          <w:szCs w:val="21"/>
        </w:rPr>
        <w:t>6.7.3 承包人应为其雇佣的施工工人建立并维护相应的生活宿舍、食堂、浴室、厕所和文化活动室等，其标准应满足政府有关机构的生活标准和卫生标准等的要求。</w:t>
      </w:r>
    </w:p>
    <w:p w14:paraId="4CBE0DFF">
      <w:pPr>
        <w:spacing w:line="360" w:lineRule="auto"/>
        <w:ind w:right="42" w:rightChars="20" w:firstLine="420" w:firstLineChars="200"/>
        <w:rPr>
          <w:szCs w:val="21"/>
        </w:rPr>
      </w:pPr>
      <w:r>
        <w:rPr>
          <w:szCs w:val="21"/>
        </w:rPr>
        <w:t>6.7.4 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等。因承包人措施不得力或不到位而给工程带来的任何损失或损害由承包人自己负责。</w:t>
      </w:r>
    </w:p>
    <w:p w14:paraId="3704C25E">
      <w:pPr>
        <w:spacing w:line="360" w:lineRule="auto"/>
        <w:ind w:right="42" w:rightChars="20" w:firstLine="420" w:firstLineChars="200"/>
        <w:rPr>
          <w:szCs w:val="21"/>
        </w:rPr>
      </w:pPr>
      <w:r>
        <w:rPr>
          <w:szCs w:val="21"/>
        </w:rPr>
        <w:t>6.7.5 在工程施工期间，承包人应始终避免现场出现不必要的障碍物，妥当存放并处置施工设备和多余的材料，及时从现场清除运走任何废料、垃圾或不再需要的临时工程和设施。</w:t>
      </w:r>
    </w:p>
    <w:p w14:paraId="4EE7CDF7">
      <w:pPr>
        <w:spacing w:line="360" w:lineRule="auto"/>
        <w:ind w:right="42" w:rightChars="20" w:firstLine="420" w:firstLineChars="200"/>
        <w:rPr>
          <w:szCs w:val="21"/>
        </w:rPr>
      </w:pPr>
      <w:r>
        <w:rPr>
          <w:szCs w:val="21"/>
        </w:rPr>
        <w:t>6.7.6 承包人应为现场的工人和其他所有工作人员提供符合卫生要求的厕所，厕所应贴有</w:t>
      </w:r>
      <w:r>
        <w:rPr>
          <w:rFonts w:hint="eastAsia"/>
          <w:szCs w:val="21"/>
        </w:rPr>
        <w:t>瓷砖</w:t>
      </w:r>
      <w:r>
        <w:rPr>
          <w:szCs w:val="21"/>
        </w:rPr>
        <w:t>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74A80536">
      <w:pPr>
        <w:spacing w:line="360" w:lineRule="auto"/>
        <w:ind w:right="42" w:rightChars="20" w:firstLine="420" w:firstLineChars="200"/>
        <w:rPr>
          <w:szCs w:val="21"/>
        </w:rPr>
      </w:pPr>
      <w:r>
        <w:rPr>
          <w:szCs w:val="21"/>
        </w:rPr>
        <w:t>6.7.7 承包人应在现场设立固定的垃圾临时存放点并在各楼层或区域设立必要的垃圾箱；所有垃圾必须在当天清除出现场，并按有关行政管理部门的规定，运送到指定的垃圾消纳场。</w:t>
      </w:r>
    </w:p>
    <w:p w14:paraId="2925A8AF">
      <w:pPr>
        <w:spacing w:line="360" w:lineRule="auto"/>
        <w:ind w:right="42" w:rightChars="20" w:firstLine="420" w:firstLineChars="200"/>
        <w:rPr>
          <w:szCs w:val="21"/>
        </w:rPr>
      </w:pPr>
      <w:r>
        <w:rPr>
          <w:szCs w:val="21"/>
        </w:rPr>
        <w:t>6.7.8 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w:t>
      </w:r>
      <w:r>
        <w:rPr>
          <w:rFonts w:hint="eastAsia"/>
          <w:szCs w:val="21"/>
        </w:rPr>
        <w:t>浇筑</w:t>
      </w:r>
      <w:r>
        <w:rPr>
          <w:szCs w:val="21"/>
        </w:rPr>
        <w:t>、材料运输、材料装卸、现场清理等工作中应采取一切必要的措施防止影响公共交通。</w:t>
      </w:r>
    </w:p>
    <w:p w14:paraId="15A019C6">
      <w:pPr>
        <w:spacing w:line="360" w:lineRule="auto"/>
        <w:ind w:right="42" w:rightChars="20" w:firstLine="420" w:firstLineChars="200"/>
        <w:rPr>
          <w:szCs w:val="21"/>
        </w:rPr>
      </w:pPr>
      <w:r>
        <w:rPr>
          <w:szCs w:val="21"/>
        </w:rPr>
        <w:t>6.7.9 承包人应当制订成品保护措施计划，并提供必要的人员、材料和设备用于整个工程的成品保护，包括对已完成的所有分包人和独立承包人（如果有）的工程或工作的保护，防止已完工作遭受任何损坏或破坏。成品保护措施应当合理安排工序，并包括工作面移交制度和责任赔偿制度。成品保护措施计划最迟应当在任何专业分包人或独立承包人进场施工前不少于28天报监理人审批。</w:t>
      </w:r>
    </w:p>
    <w:p w14:paraId="30BBA2A8">
      <w:pPr>
        <w:spacing w:line="360" w:lineRule="auto"/>
        <w:ind w:right="42" w:rightChars="20" w:firstLine="420" w:firstLineChars="200"/>
        <w:rPr>
          <w:szCs w:val="21"/>
        </w:rPr>
      </w:pPr>
      <w:r>
        <w:rPr>
          <w:szCs w:val="21"/>
        </w:rPr>
        <w:t>6.7.10 文明施工方面的其他要求如下：</w:t>
      </w:r>
      <w:r>
        <w:rPr>
          <w:szCs w:val="21"/>
          <w:u w:val="single"/>
        </w:rPr>
        <w:t xml:space="preserve">     </w:t>
      </w:r>
      <w:r>
        <w:rPr>
          <w:szCs w:val="21"/>
        </w:rPr>
        <w:t>。</w:t>
      </w:r>
    </w:p>
    <w:p w14:paraId="451E6514">
      <w:pPr>
        <w:spacing w:line="360" w:lineRule="auto"/>
        <w:ind w:right="42" w:rightChars="20" w:firstLine="480" w:firstLineChars="200"/>
        <w:rPr>
          <w:rFonts w:eastAsia="黑体"/>
          <w:bCs/>
          <w:sz w:val="24"/>
        </w:rPr>
      </w:pPr>
      <w:bookmarkStart w:id="629" w:name="_Toc300678535"/>
      <w:r>
        <w:rPr>
          <w:rFonts w:eastAsia="黑体"/>
          <w:bCs/>
          <w:sz w:val="24"/>
        </w:rPr>
        <w:t>6.8 环境保护</w:t>
      </w:r>
      <w:bookmarkEnd w:id="629"/>
    </w:p>
    <w:p w14:paraId="2EF955AC">
      <w:pPr>
        <w:spacing w:line="360" w:lineRule="auto"/>
        <w:ind w:right="42" w:rightChars="20" w:firstLine="420" w:firstLineChars="200"/>
        <w:rPr>
          <w:szCs w:val="21"/>
        </w:rPr>
      </w:pPr>
      <w:r>
        <w:rPr>
          <w:szCs w:val="21"/>
        </w:rPr>
        <w:t>6.8.1 在工程施工、完工及修补任何缺陷的过程中，承包人应当始终遵守国家和工程所在地有关环境保护、水土保护和污染防治的法律、法规、规章、规范、标准和规程等，按照合同条款的约定履行其环境与生态保护职责。</w:t>
      </w:r>
    </w:p>
    <w:p w14:paraId="588BD51E">
      <w:pPr>
        <w:spacing w:line="360" w:lineRule="auto"/>
        <w:ind w:right="42" w:rightChars="20" w:firstLine="420" w:firstLineChars="200"/>
        <w:rPr>
          <w:szCs w:val="21"/>
        </w:rPr>
      </w:pPr>
      <w:r>
        <w:rPr>
          <w:szCs w:val="21"/>
        </w:rPr>
        <w:t>6.8.2 承包人应按合同约定和监理人指示，接受国家和地方环境保护行政主管部门的监督、监测和检查。承包人应对其违反现行法律、法规、规章、规范、标准和规程等以及本合同约定所造成的环境污染、水土流失、人员伤害和财产损失等承担赔偿责任。</w:t>
      </w:r>
    </w:p>
    <w:p w14:paraId="276C3C0C">
      <w:pPr>
        <w:spacing w:line="360" w:lineRule="auto"/>
        <w:ind w:right="42" w:rightChars="20" w:firstLine="420" w:firstLineChars="200"/>
        <w:rPr>
          <w:szCs w:val="21"/>
        </w:rPr>
      </w:pPr>
      <w:r>
        <w:rPr>
          <w:szCs w:val="21"/>
        </w:rPr>
        <w:t>6.8.3 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2024F98B">
      <w:pPr>
        <w:spacing w:line="360" w:lineRule="auto"/>
        <w:ind w:right="42" w:rightChars="20" w:firstLine="420" w:firstLineChars="200"/>
        <w:rPr>
          <w:szCs w:val="21"/>
        </w:rPr>
      </w:pPr>
      <w:r>
        <w:rPr>
          <w:szCs w:val="21"/>
        </w:rPr>
        <w:t>6.8.4 承包人应当做好施工场地（现场）范围内各项工程的开挖支护、截水、降水、灌浆、衬砌、挡护结构及排水等工程防护措施。施工场地（现场）内所有边坡应当采取有效的水土流失防治和保持措施。承包人采用的降水方案应当充分考虑对地下水的保护和合理使用，如果国家和（或）地方人民政府有特别规定的，承包人应当遵守有关规定。承包人还应设置完善的排水系统，保持施工场地（现场）始终处于良好的排水状态，防止降雨径流对施工场地（现场）的冲刷。</w:t>
      </w:r>
    </w:p>
    <w:p w14:paraId="66EB8E56">
      <w:pPr>
        <w:spacing w:line="360" w:lineRule="auto"/>
        <w:ind w:right="42" w:rightChars="20" w:firstLine="420" w:firstLineChars="200"/>
        <w:rPr>
          <w:szCs w:val="21"/>
        </w:rPr>
      </w:pPr>
      <w:r>
        <w:rPr>
          <w:szCs w:val="21"/>
        </w:rPr>
        <w:t>6.8.5 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如放射性材料、石棉制品等）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37C8B017">
      <w:pPr>
        <w:spacing w:line="360" w:lineRule="auto"/>
        <w:ind w:right="42" w:rightChars="20" w:firstLine="420" w:firstLineChars="200"/>
        <w:rPr>
          <w:szCs w:val="21"/>
        </w:rPr>
      </w:pPr>
      <w:r>
        <w:rPr>
          <w:szCs w:val="21"/>
        </w:rPr>
        <w:t>6.8.6 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5D45E877">
      <w:pPr>
        <w:spacing w:line="360" w:lineRule="auto"/>
        <w:ind w:right="42" w:rightChars="20" w:firstLine="420" w:firstLineChars="200"/>
        <w:rPr>
          <w:szCs w:val="21"/>
        </w:rPr>
      </w:pPr>
      <w:r>
        <w:rPr>
          <w:szCs w:val="21"/>
        </w:rPr>
        <w:t>6.8.7 承包人应当保证施工生产用水和生活用水符合国家有关标准的规定。承包人还应建设、运行和维护施工生产和生活污水收集和处理系统（包括排污口接入），建立符合排放标准的临时沉淀池和化粪池等，不得将未处理的污水直接或间接排放或造成地表水体、地下水体或生产和生活供水系统的污染。</w:t>
      </w:r>
    </w:p>
    <w:p w14:paraId="47E5EC79">
      <w:pPr>
        <w:spacing w:line="360" w:lineRule="auto"/>
        <w:ind w:right="42" w:rightChars="20" w:firstLine="420" w:firstLineChars="200"/>
        <w:rPr>
          <w:szCs w:val="21"/>
        </w:rPr>
      </w:pPr>
      <w:r>
        <w:rPr>
          <w:szCs w:val="21"/>
        </w:rPr>
        <w:t>6.8.8 承包人应当采取有效措施，建立相应的过滤、分离、分解或沉淀等处理系统，不得让有害物质（如燃料、油料、化学品、酸等，以及超过剂量的有害气体和尘埃、污水、泥土或水、弃渣等）污染施工场地（现场）及其周边环境。承包人施工工序、工作时间安排和施工设备的配置应当充分考虑降低噪声和照明等对施工场地 （现场）周边生产和生活的影响，并满足国家和地方政府有关规定的要求。</w:t>
      </w:r>
    </w:p>
    <w:p w14:paraId="2F503FE0">
      <w:pPr>
        <w:spacing w:line="360" w:lineRule="auto"/>
        <w:ind w:right="42" w:rightChars="20" w:firstLine="420" w:firstLineChars="200"/>
        <w:rPr>
          <w:szCs w:val="21"/>
        </w:rPr>
      </w:pPr>
      <w:r>
        <w:rPr>
          <w:szCs w:val="21"/>
        </w:rPr>
        <w:t>6.8.9 环境保护方面的其他要求如下：</w:t>
      </w:r>
      <w:r>
        <w:rPr>
          <w:szCs w:val="21"/>
          <w:u w:val="single"/>
        </w:rPr>
        <w:t xml:space="preserve">     </w:t>
      </w:r>
      <w:r>
        <w:rPr>
          <w:szCs w:val="21"/>
        </w:rPr>
        <w:t>。</w:t>
      </w:r>
    </w:p>
    <w:p w14:paraId="21EA79E3">
      <w:pPr>
        <w:pStyle w:val="6"/>
        <w:rPr>
          <w:rFonts w:ascii="Times New Roman" w:hAnsi="Times New Roman" w:eastAsia="黑体"/>
          <w:b w:val="0"/>
          <w:bCs w:val="0"/>
          <w:sz w:val="24"/>
        </w:rPr>
      </w:pPr>
      <w:bookmarkStart w:id="630" w:name="_Toc300678536"/>
      <w:r>
        <w:rPr>
          <w:rFonts w:ascii="Times New Roman" w:hAnsi="Times New Roman" w:eastAsia="黑体"/>
          <w:b w:val="0"/>
          <w:bCs w:val="0"/>
          <w:sz w:val="24"/>
        </w:rPr>
        <w:t>6.9 施工环保措施计划</w:t>
      </w:r>
      <w:bookmarkEnd w:id="630"/>
    </w:p>
    <w:p w14:paraId="30ABBB9C">
      <w:pPr>
        <w:spacing w:line="360" w:lineRule="auto"/>
        <w:ind w:right="42" w:rightChars="20" w:firstLine="420" w:firstLineChars="200"/>
        <w:rPr>
          <w:szCs w:val="21"/>
        </w:rPr>
      </w:pPr>
      <w:r>
        <w:rPr>
          <w:szCs w:val="21"/>
        </w:rPr>
        <w:t>6.9.1 合同条款约定的施工环保措施计划是承包人阐明环保方针和拟采用的环保措施及方法等的文件，其内容应包括但不限于：</w:t>
      </w:r>
    </w:p>
    <w:p w14:paraId="692D3D19">
      <w:pPr>
        <w:spacing w:line="360" w:lineRule="auto"/>
        <w:ind w:right="42" w:rightChars="20" w:firstLine="420" w:firstLineChars="200"/>
        <w:rPr>
          <w:szCs w:val="21"/>
        </w:rPr>
      </w:pPr>
      <w:r>
        <w:rPr>
          <w:szCs w:val="21"/>
        </w:rPr>
        <w:t>（1）承包人生活区（如果有）的生活用水和生活污水处理措施；</w:t>
      </w:r>
    </w:p>
    <w:p w14:paraId="706439A0">
      <w:pPr>
        <w:spacing w:line="360" w:lineRule="auto"/>
        <w:ind w:right="42" w:rightChars="20" w:firstLine="420" w:firstLineChars="200"/>
        <w:rPr>
          <w:szCs w:val="21"/>
        </w:rPr>
      </w:pPr>
      <w:r>
        <w:rPr>
          <w:szCs w:val="21"/>
        </w:rPr>
        <w:t>（2）施工生产废水处理措施；</w:t>
      </w:r>
    </w:p>
    <w:p w14:paraId="596BAB27">
      <w:pPr>
        <w:spacing w:line="360" w:lineRule="auto"/>
        <w:ind w:right="42" w:rightChars="20" w:firstLine="420" w:firstLineChars="200"/>
        <w:rPr>
          <w:szCs w:val="21"/>
        </w:rPr>
      </w:pPr>
      <w:r>
        <w:rPr>
          <w:szCs w:val="21"/>
        </w:rPr>
        <w:t>（3）施工扬尘和废气的处理措施；</w:t>
      </w:r>
    </w:p>
    <w:p w14:paraId="2B28C817">
      <w:pPr>
        <w:spacing w:line="360" w:lineRule="auto"/>
        <w:ind w:right="42" w:rightChars="20" w:firstLine="420" w:firstLineChars="200"/>
        <w:rPr>
          <w:szCs w:val="21"/>
        </w:rPr>
      </w:pPr>
      <w:r>
        <w:rPr>
          <w:szCs w:val="21"/>
        </w:rPr>
        <w:t>（4）施工噪声和光污染控制措施；</w:t>
      </w:r>
    </w:p>
    <w:p w14:paraId="6C0533C6">
      <w:pPr>
        <w:spacing w:line="360" w:lineRule="auto"/>
        <w:ind w:right="42" w:rightChars="20" w:firstLine="420" w:firstLineChars="200"/>
        <w:rPr>
          <w:szCs w:val="21"/>
        </w:rPr>
      </w:pPr>
      <w:r>
        <w:rPr>
          <w:szCs w:val="21"/>
        </w:rPr>
        <w:t>（5）节能减排措施；</w:t>
      </w:r>
    </w:p>
    <w:p w14:paraId="2A12FA99">
      <w:pPr>
        <w:spacing w:line="360" w:lineRule="auto"/>
        <w:ind w:right="42" w:rightChars="20" w:firstLine="420" w:firstLineChars="200"/>
        <w:rPr>
          <w:szCs w:val="21"/>
        </w:rPr>
      </w:pPr>
      <w:r>
        <w:rPr>
          <w:szCs w:val="21"/>
        </w:rPr>
        <w:t>（6）不可再生资源循环利用措施；</w:t>
      </w:r>
    </w:p>
    <w:p w14:paraId="1DD9C9CD">
      <w:pPr>
        <w:spacing w:line="360" w:lineRule="auto"/>
        <w:ind w:right="42" w:rightChars="20" w:firstLine="420" w:firstLineChars="200"/>
        <w:rPr>
          <w:szCs w:val="21"/>
        </w:rPr>
      </w:pPr>
      <w:r>
        <w:rPr>
          <w:szCs w:val="21"/>
        </w:rPr>
        <w:t>（7）固体废弃物处理措施；</w:t>
      </w:r>
    </w:p>
    <w:p w14:paraId="2C0F57FA">
      <w:pPr>
        <w:spacing w:line="360" w:lineRule="auto"/>
        <w:ind w:right="42" w:rightChars="20" w:firstLine="420" w:firstLineChars="200"/>
        <w:rPr>
          <w:szCs w:val="21"/>
        </w:rPr>
      </w:pPr>
      <w:r>
        <w:rPr>
          <w:szCs w:val="21"/>
        </w:rPr>
        <w:t>（8）人群健康保护和卫生防疫措施；</w:t>
      </w:r>
    </w:p>
    <w:p w14:paraId="449F13A2">
      <w:pPr>
        <w:spacing w:line="360" w:lineRule="auto"/>
        <w:ind w:right="42" w:rightChars="20" w:firstLine="420" w:firstLineChars="200"/>
        <w:rPr>
          <w:szCs w:val="21"/>
        </w:rPr>
      </w:pPr>
      <w:r>
        <w:rPr>
          <w:szCs w:val="21"/>
        </w:rPr>
        <w:t>（9）防止误用有害材料的保证措施；</w:t>
      </w:r>
    </w:p>
    <w:p w14:paraId="610E2BC4">
      <w:pPr>
        <w:spacing w:line="360" w:lineRule="auto"/>
        <w:ind w:right="42" w:rightChars="20" w:firstLine="420" w:firstLineChars="200"/>
        <w:rPr>
          <w:szCs w:val="21"/>
        </w:rPr>
      </w:pPr>
      <w:r>
        <w:rPr>
          <w:szCs w:val="21"/>
        </w:rPr>
        <w:t>（10）施工边坡工程的水土流失保护措施；</w:t>
      </w:r>
    </w:p>
    <w:p w14:paraId="333DB812">
      <w:pPr>
        <w:spacing w:line="360" w:lineRule="auto"/>
        <w:ind w:right="42" w:rightChars="20" w:firstLine="420" w:firstLineChars="200"/>
        <w:rPr>
          <w:szCs w:val="21"/>
        </w:rPr>
      </w:pPr>
      <w:r>
        <w:rPr>
          <w:szCs w:val="21"/>
        </w:rPr>
        <w:t>（11）道路污染防治措施；</w:t>
      </w:r>
    </w:p>
    <w:p w14:paraId="3930E645">
      <w:pPr>
        <w:spacing w:line="360" w:lineRule="auto"/>
        <w:ind w:right="42" w:rightChars="20" w:firstLine="420" w:firstLineChars="200"/>
        <w:rPr>
          <w:szCs w:val="21"/>
        </w:rPr>
      </w:pPr>
      <w:r>
        <w:rPr>
          <w:szCs w:val="21"/>
        </w:rPr>
        <w:t>（12）完工后场地清理及其植被（如果有）恢复的规划和措施；</w:t>
      </w:r>
    </w:p>
    <w:p w14:paraId="440E3495">
      <w:pPr>
        <w:spacing w:line="360" w:lineRule="auto"/>
        <w:ind w:right="42" w:rightChars="20" w:firstLine="420" w:firstLineChars="200"/>
        <w:rPr>
          <w:szCs w:val="21"/>
        </w:rPr>
      </w:pPr>
      <w:r>
        <w:rPr>
          <w:szCs w:val="21"/>
        </w:rPr>
        <w:t>（13）其他：</w:t>
      </w:r>
      <w:r>
        <w:rPr>
          <w:szCs w:val="21"/>
          <w:u w:val="single"/>
        </w:rPr>
        <w:t xml:space="preserve">                </w:t>
      </w:r>
      <w:r>
        <w:rPr>
          <w:szCs w:val="21"/>
        </w:rPr>
        <w:t>。</w:t>
      </w:r>
    </w:p>
    <w:p w14:paraId="3965B418">
      <w:pPr>
        <w:spacing w:line="360" w:lineRule="auto"/>
        <w:ind w:right="42" w:rightChars="20" w:firstLine="420" w:firstLineChars="200"/>
        <w:rPr>
          <w:szCs w:val="21"/>
        </w:rPr>
      </w:pPr>
      <w:r>
        <w:rPr>
          <w:szCs w:val="21"/>
        </w:rPr>
        <w:t>6.9.2 施工环保措施计划应当在合同条款约定的期限内报送监理人。承包人应当严格执行经监理人批准的施工环保措施计划，并及时补充、修订和完善施工环保措施计划。</w:t>
      </w:r>
    </w:p>
    <w:p w14:paraId="2AF134EF">
      <w:pPr>
        <w:pStyle w:val="5"/>
        <w:keepNext/>
        <w:keepLines/>
        <w:widowControl w:val="0"/>
        <w:jc w:val="left"/>
        <w:rPr>
          <w:rFonts w:eastAsia="黑体"/>
          <w:b w:val="0"/>
          <w:bCs w:val="0"/>
          <w:sz w:val="28"/>
          <w:szCs w:val="28"/>
        </w:rPr>
      </w:pPr>
      <w:bookmarkStart w:id="631" w:name="_Toc9178558"/>
      <w:bookmarkStart w:id="632" w:name="_Toc79998861"/>
      <w:bookmarkStart w:id="633" w:name="_Toc300678537"/>
      <w:bookmarkStart w:id="634" w:name="_Toc80006131"/>
      <w:bookmarkStart w:id="635" w:name="_Toc80006241"/>
      <w:bookmarkStart w:id="636" w:name="_Toc79998417"/>
      <w:r>
        <w:rPr>
          <w:rFonts w:eastAsia="黑体"/>
          <w:b w:val="0"/>
          <w:bCs w:val="0"/>
          <w:sz w:val="28"/>
          <w:szCs w:val="28"/>
        </w:rPr>
        <w:t>7.治安保卫</w:t>
      </w:r>
      <w:bookmarkEnd w:id="631"/>
      <w:bookmarkEnd w:id="632"/>
      <w:bookmarkEnd w:id="633"/>
      <w:bookmarkEnd w:id="634"/>
      <w:bookmarkEnd w:id="635"/>
      <w:bookmarkEnd w:id="636"/>
    </w:p>
    <w:p w14:paraId="7E08F70D">
      <w:pPr>
        <w:spacing w:line="360" w:lineRule="auto"/>
        <w:ind w:firstLine="420" w:firstLineChars="200"/>
        <w:rPr>
          <w:szCs w:val="21"/>
        </w:rPr>
      </w:pPr>
      <w:r>
        <w:rPr>
          <w:szCs w:val="21"/>
        </w:rPr>
        <w:t xml:space="preserve">7.1 </w:t>
      </w:r>
      <w:r>
        <w:rPr>
          <w:spacing w:val="6"/>
          <w:szCs w:val="21"/>
        </w:rPr>
        <w:t>承包人应为施工场地（现场）提供24小时的保安保卫服务，配备足够的保安人员和保安设备，防止未经批准的任何人进入现场，控制人员、材料和设备等的进出场，防止现场材料、设备或其他任何物品的失窃，禁止任何现场内的打架斗殴事件。</w:t>
      </w:r>
    </w:p>
    <w:p w14:paraId="45DA08AE">
      <w:pPr>
        <w:spacing w:line="360" w:lineRule="auto"/>
        <w:ind w:firstLine="420" w:firstLineChars="200"/>
        <w:rPr>
          <w:szCs w:val="21"/>
        </w:rPr>
      </w:pPr>
      <w:r>
        <w:rPr>
          <w:szCs w:val="21"/>
        </w:rPr>
        <w:t>7.2 承包人的保安人员应是训练有素的专业保安人员，承包人可以雇佣专业保安公司负责现场保安和保卫；保安保卫制度除规范现场出入大门控制外，还应规定定时和不定时的施工场地（现场）周边和全现场的保安巡逻。</w:t>
      </w:r>
    </w:p>
    <w:p w14:paraId="0E498617">
      <w:pPr>
        <w:spacing w:line="360" w:lineRule="auto"/>
        <w:ind w:firstLine="420" w:firstLineChars="200"/>
        <w:rPr>
          <w:szCs w:val="21"/>
        </w:rPr>
      </w:pPr>
      <w:r>
        <w:rPr>
          <w:szCs w:val="21"/>
        </w:rPr>
        <w:t>7.3 承包人应制定并实施严格的施工场地（现场）出入制度并报监理人审批；车辆的出入须有出入审批制度，并有指定的专人负责管理；人员进出现场应有出入证，出入证须以经过监理人批准的格式印制。</w:t>
      </w:r>
    </w:p>
    <w:p w14:paraId="649BE7A3">
      <w:pPr>
        <w:spacing w:line="360" w:lineRule="auto"/>
        <w:ind w:firstLine="420" w:firstLineChars="200"/>
        <w:rPr>
          <w:szCs w:val="21"/>
        </w:rPr>
      </w:pPr>
      <w:r>
        <w:rPr>
          <w:szCs w:val="21"/>
        </w:rPr>
        <w:t>7.4 承包人应确保杜绝任何未经监理人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监理人批准的参观人员的人身安全。</w:t>
      </w:r>
    </w:p>
    <w:p w14:paraId="23EFA0D7">
      <w:pPr>
        <w:spacing w:line="360" w:lineRule="auto"/>
        <w:ind w:firstLine="420" w:firstLineChars="200"/>
        <w:rPr>
          <w:szCs w:val="21"/>
        </w:rPr>
      </w:pPr>
      <w:r>
        <w:rPr>
          <w:szCs w:val="21"/>
        </w:rPr>
        <w:t>7.5 承包人应为施工场地（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67B5B016">
      <w:pPr>
        <w:spacing w:line="360" w:lineRule="auto"/>
        <w:ind w:firstLine="420" w:firstLineChars="200"/>
        <w:rPr>
          <w:szCs w:val="21"/>
        </w:rPr>
      </w:pPr>
      <w:r>
        <w:rPr>
          <w:szCs w:val="21"/>
        </w:rPr>
        <w:t>7.6 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包括其分包人）拖欠工人工资而可能遭受的任何处罚、索赔、损失和损害等。</w:t>
      </w:r>
    </w:p>
    <w:p w14:paraId="3CF23B95">
      <w:pPr>
        <w:spacing w:line="360" w:lineRule="auto"/>
        <w:ind w:firstLine="420" w:firstLineChars="200"/>
        <w:rPr>
          <w:szCs w:val="21"/>
        </w:rPr>
      </w:pPr>
      <w:r>
        <w:rPr>
          <w:szCs w:val="21"/>
        </w:rPr>
        <w:t xml:space="preserve"> 7.7 施工场地（现场）治安管理计划的要求：</w:t>
      </w:r>
      <w:r>
        <w:rPr>
          <w:szCs w:val="21"/>
          <w:u w:val="single"/>
        </w:rPr>
        <w:t xml:space="preserve">     </w:t>
      </w:r>
      <w:r>
        <w:rPr>
          <w:szCs w:val="21"/>
        </w:rPr>
        <w:t>。</w:t>
      </w:r>
    </w:p>
    <w:p w14:paraId="51993898">
      <w:pPr>
        <w:spacing w:line="360" w:lineRule="auto"/>
        <w:ind w:firstLine="424" w:firstLineChars="202"/>
        <w:rPr>
          <w:szCs w:val="21"/>
        </w:rPr>
      </w:pPr>
      <w:r>
        <w:rPr>
          <w:szCs w:val="21"/>
        </w:rPr>
        <w:t>7.8 突发治安事件紧急预案的要求：</w:t>
      </w:r>
      <w:r>
        <w:rPr>
          <w:szCs w:val="21"/>
          <w:u w:val="single"/>
        </w:rPr>
        <w:t xml:space="preserve">     </w:t>
      </w:r>
      <w:r>
        <w:rPr>
          <w:szCs w:val="21"/>
        </w:rPr>
        <w:t>。</w:t>
      </w:r>
    </w:p>
    <w:p w14:paraId="12304F16">
      <w:pPr>
        <w:spacing w:line="360" w:lineRule="auto"/>
        <w:ind w:firstLine="424" w:firstLineChars="202"/>
        <w:rPr>
          <w:szCs w:val="21"/>
        </w:rPr>
      </w:pPr>
      <w:r>
        <w:rPr>
          <w:szCs w:val="21"/>
        </w:rPr>
        <w:t>7.9 治安保卫方面的其他要求如下：</w:t>
      </w:r>
      <w:r>
        <w:rPr>
          <w:szCs w:val="21"/>
          <w:u w:val="single"/>
        </w:rPr>
        <w:t xml:space="preserve">     </w:t>
      </w:r>
      <w:r>
        <w:rPr>
          <w:szCs w:val="21"/>
        </w:rPr>
        <w:t>。</w:t>
      </w:r>
    </w:p>
    <w:p w14:paraId="424E2A98">
      <w:pPr>
        <w:pStyle w:val="5"/>
        <w:keepNext/>
        <w:keepLines/>
        <w:widowControl w:val="0"/>
        <w:jc w:val="left"/>
        <w:rPr>
          <w:rFonts w:eastAsia="黑体"/>
          <w:b w:val="0"/>
          <w:bCs w:val="0"/>
          <w:sz w:val="28"/>
          <w:szCs w:val="28"/>
        </w:rPr>
      </w:pPr>
      <w:bookmarkStart w:id="637" w:name="_Toc9178559"/>
      <w:bookmarkStart w:id="638" w:name="_Toc79998418"/>
      <w:bookmarkStart w:id="639" w:name="_Toc300678538"/>
      <w:bookmarkStart w:id="640" w:name="_Toc79998862"/>
      <w:bookmarkStart w:id="641" w:name="_Toc80006242"/>
      <w:bookmarkStart w:id="642" w:name="_Toc80006132"/>
      <w:r>
        <w:rPr>
          <w:rFonts w:eastAsia="黑体"/>
          <w:b w:val="0"/>
          <w:bCs w:val="0"/>
          <w:sz w:val="28"/>
          <w:szCs w:val="28"/>
        </w:rPr>
        <w:t>8.地上、地下设施和周边建筑物的临时保护</w:t>
      </w:r>
      <w:bookmarkEnd w:id="637"/>
      <w:bookmarkEnd w:id="638"/>
      <w:bookmarkEnd w:id="639"/>
      <w:bookmarkEnd w:id="640"/>
      <w:bookmarkEnd w:id="641"/>
      <w:bookmarkEnd w:id="642"/>
    </w:p>
    <w:p w14:paraId="090C9A5A">
      <w:pPr>
        <w:spacing w:line="360" w:lineRule="auto"/>
        <w:ind w:firstLine="420" w:firstLineChars="200"/>
        <w:rPr>
          <w:szCs w:val="21"/>
        </w:rPr>
      </w:pPr>
      <w:r>
        <w:rPr>
          <w:szCs w:val="21"/>
        </w:rPr>
        <w:t>8.1 承包人应为施工场地及其周边现有的地上、地下设施和建筑物提供足够的临时保护设施，确保施工过程中这些设施和建筑物不会受到干扰和破坏。</w:t>
      </w:r>
    </w:p>
    <w:p w14:paraId="4F0242F8">
      <w:pPr>
        <w:spacing w:line="360" w:lineRule="auto"/>
        <w:ind w:firstLine="420" w:firstLineChars="200"/>
        <w:rPr>
          <w:szCs w:val="21"/>
        </w:rPr>
      </w:pPr>
      <w:r>
        <w:rPr>
          <w:szCs w:val="21"/>
        </w:rPr>
        <w:t>8.2 承包人应当制订现有设施临时保护方案和应急处理方案，并在本工程开工前至少提前7天报送监理人，监理人应在收到现有设施临时保护方案后的3天内批复承包人。承包人应当严格执行经监理人批准的保护方案，并保证在任何可能影响周边现有的地上、地下设施或周边建筑物的施工作业开始前，相应的临时保护设施能够落实到位。</w:t>
      </w:r>
    </w:p>
    <w:p w14:paraId="1ACA0C75">
      <w:pPr>
        <w:spacing w:line="360" w:lineRule="auto"/>
        <w:ind w:firstLine="420" w:firstLineChars="200"/>
        <w:rPr>
          <w:szCs w:val="21"/>
        </w:rPr>
      </w:pPr>
      <w:r>
        <w:rPr>
          <w:szCs w:val="21"/>
        </w:rPr>
        <w:t>8.3 发包人特别提醒承包人注意以下地上、地下设施和周边建筑物的保护：</w:t>
      </w:r>
      <w:r>
        <w:rPr>
          <w:szCs w:val="21"/>
          <w:u w:val="single"/>
        </w:rPr>
        <w:t xml:space="preserve">     </w:t>
      </w:r>
      <w:r>
        <w:rPr>
          <w:szCs w:val="21"/>
        </w:rPr>
        <w:t>。</w:t>
      </w:r>
    </w:p>
    <w:p w14:paraId="76B3047A">
      <w:pPr>
        <w:spacing w:line="360" w:lineRule="auto"/>
        <w:ind w:firstLine="420" w:firstLineChars="200"/>
        <w:rPr>
          <w:szCs w:val="21"/>
        </w:rPr>
      </w:pPr>
      <w:r>
        <w:rPr>
          <w:szCs w:val="21"/>
        </w:rPr>
        <w:t>8.4 地上、地下设施和周边建筑物的临时保护的其他要求如下：</w:t>
      </w:r>
      <w:r>
        <w:rPr>
          <w:szCs w:val="21"/>
          <w:u w:val="single"/>
        </w:rPr>
        <w:t xml:space="preserve">     </w:t>
      </w:r>
      <w:r>
        <w:rPr>
          <w:szCs w:val="21"/>
        </w:rPr>
        <w:t>。</w:t>
      </w:r>
    </w:p>
    <w:p w14:paraId="12A7BD00">
      <w:pPr>
        <w:pStyle w:val="5"/>
        <w:keepNext/>
        <w:keepLines/>
        <w:widowControl w:val="0"/>
        <w:jc w:val="left"/>
        <w:rPr>
          <w:rFonts w:eastAsia="黑体"/>
          <w:b w:val="0"/>
          <w:bCs w:val="0"/>
          <w:sz w:val="28"/>
          <w:szCs w:val="28"/>
        </w:rPr>
      </w:pPr>
      <w:bookmarkStart w:id="643" w:name="_Toc300678539"/>
      <w:bookmarkStart w:id="644" w:name="_Toc80006133"/>
      <w:bookmarkStart w:id="645" w:name="_Toc9178560"/>
      <w:bookmarkStart w:id="646" w:name="_Toc80006243"/>
      <w:bookmarkStart w:id="647" w:name="_Toc79998863"/>
      <w:bookmarkStart w:id="648" w:name="_Toc79998419"/>
      <w:r>
        <w:rPr>
          <w:rFonts w:eastAsia="黑体"/>
          <w:b w:val="0"/>
          <w:bCs w:val="0"/>
          <w:sz w:val="28"/>
          <w:szCs w:val="28"/>
        </w:rPr>
        <w:t>9.样品和材料代换</w:t>
      </w:r>
      <w:bookmarkEnd w:id="643"/>
      <w:bookmarkEnd w:id="644"/>
      <w:bookmarkEnd w:id="645"/>
      <w:bookmarkEnd w:id="646"/>
      <w:bookmarkEnd w:id="647"/>
      <w:bookmarkEnd w:id="648"/>
    </w:p>
    <w:p w14:paraId="632C2AA6">
      <w:pPr>
        <w:pStyle w:val="6"/>
        <w:rPr>
          <w:rFonts w:ascii="Times New Roman" w:hAnsi="Times New Roman" w:eastAsia="黑体"/>
          <w:b w:val="0"/>
          <w:bCs w:val="0"/>
          <w:sz w:val="24"/>
        </w:rPr>
      </w:pPr>
      <w:bookmarkStart w:id="649" w:name="_Toc300678540"/>
      <w:r>
        <w:rPr>
          <w:rFonts w:ascii="Times New Roman" w:hAnsi="Times New Roman" w:eastAsia="黑体"/>
          <w:b w:val="0"/>
          <w:bCs w:val="0"/>
          <w:sz w:val="24"/>
        </w:rPr>
        <w:t>9.1 样品</w:t>
      </w:r>
      <w:bookmarkEnd w:id="649"/>
    </w:p>
    <w:p w14:paraId="140B3EFC">
      <w:pPr>
        <w:spacing w:line="360" w:lineRule="auto"/>
        <w:ind w:firstLine="420" w:firstLineChars="200"/>
        <w:rPr>
          <w:szCs w:val="21"/>
        </w:rPr>
      </w:pPr>
      <w:r>
        <w:rPr>
          <w:szCs w:val="21"/>
        </w:rPr>
        <w:t>9.1.1 本工程需要承包人提供样品的材料和工程设备如下：</w:t>
      </w:r>
      <w:r>
        <w:rPr>
          <w:szCs w:val="21"/>
          <w:u w:val="single"/>
        </w:rPr>
        <w:t xml:space="preserve">     </w:t>
      </w:r>
      <w:r>
        <w:rPr>
          <w:szCs w:val="21"/>
        </w:rPr>
        <w:t>。</w:t>
      </w:r>
    </w:p>
    <w:p w14:paraId="2CAB7A77">
      <w:pPr>
        <w:spacing w:line="360" w:lineRule="auto"/>
        <w:ind w:firstLine="420" w:firstLineChars="200"/>
        <w:rPr>
          <w:szCs w:val="21"/>
        </w:rPr>
      </w:pPr>
      <w:r>
        <w:rPr>
          <w:szCs w:val="21"/>
        </w:rPr>
        <w:t>9.1.2 对于本款第9.1.1项约定的材料和工程设备，承包人应按照合同条款约定的期限，向监理人提交样品并附上任何必要的说明书、生产（制造）许可证书、出厂合格证明或者证书、出厂检测报告、性能介绍、使用说明等相关资料，同时注明材料和工程设备的供货人及品种、规格、数量和供货时间等，以供检验和审批。样品送达的地点和样品的数量或尺寸应符合监理人和发包人的要求。除合同另有约定外，承包人在报送任何样品时应按监理人同意的格式填写并递交样品报送单。监理人应及时签收样品。</w:t>
      </w:r>
    </w:p>
    <w:p w14:paraId="36187A07">
      <w:pPr>
        <w:spacing w:line="360" w:lineRule="auto"/>
        <w:ind w:firstLine="420" w:firstLineChars="200"/>
        <w:rPr>
          <w:szCs w:val="21"/>
        </w:rPr>
      </w:pPr>
      <w:r>
        <w:rPr>
          <w:szCs w:val="21"/>
        </w:rPr>
        <w:t>9.1.3 合同条款约定的依法不需要招标的、以暂估价形式包括在工程量清单中的材料和工程设备，所附资料除本款第9.1.2项约定的内容外，还应附上价格资料，每一类材料设备，至少应准备符合合同要求的三个产品，价格分高、中、低三档，以便监理人和发包人选择和批准。</w:t>
      </w:r>
    </w:p>
    <w:p w14:paraId="37AB41A9">
      <w:pPr>
        <w:spacing w:line="360" w:lineRule="auto"/>
        <w:ind w:firstLine="420" w:firstLineChars="200"/>
        <w:rPr>
          <w:szCs w:val="21"/>
        </w:rPr>
      </w:pPr>
      <w:r>
        <w:rPr>
          <w:szCs w:val="21"/>
        </w:rPr>
        <w:t>9.1.4 监理人应在收到承包人报送的样品后7天内转呈发包人并附上监理人的书面审批意见。发包人在收到通过监理人转交的样品以及监理人的审批意见后7天内就此样品给出书面批复。监理人应在收到样品后21天内通知承包人他相关样品所做出的决定或指示（同时抄送一份给发包人）。承包人应根据监理人的书面批复和指示相应地进行下一步工作。如果监理人未能在承包人报送样品后21天内给出书面批复，承包人应就此通知监理人，要求尽快批复。如果发包人在收到此类通知后7天内仍未对样品进行批复，则视为监理人和发包人已经批准。</w:t>
      </w:r>
    </w:p>
    <w:p w14:paraId="0FC11EED">
      <w:pPr>
        <w:spacing w:line="360" w:lineRule="auto"/>
        <w:ind w:firstLine="420" w:firstLineChars="200"/>
        <w:rPr>
          <w:szCs w:val="21"/>
        </w:rPr>
      </w:pPr>
      <w:r>
        <w:rPr>
          <w:szCs w:val="21"/>
        </w:rPr>
        <w:t>9.1.5 得到批准后的样品由监理人负责存放。但承包人应为保存样品提供适当和固定的场所并保持适当和良好的环境条件。</w:t>
      </w:r>
    </w:p>
    <w:p w14:paraId="4467365C">
      <w:pPr>
        <w:spacing w:line="360" w:lineRule="auto"/>
        <w:ind w:firstLine="420" w:firstLineChars="200"/>
        <w:rPr>
          <w:szCs w:val="21"/>
        </w:rPr>
      </w:pPr>
      <w:r>
        <w:rPr>
          <w:szCs w:val="21"/>
        </w:rPr>
        <w:t>9.1.6 提供样品和提供存放样品场所的费用由承包人承担。</w:t>
      </w:r>
    </w:p>
    <w:p w14:paraId="0629DB88">
      <w:pPr>
        <w:pStyle w:val="6"/>
        <w:rPr>
          <w:rFonts w:ascii="Times New Roman" w:hAnsi="Times New Roman" w:eastAsia="黑体"/>
          <w:b w:val="0"/>
          <w:bCs w:val="0"/>
          <w:sz w:val="24"/>
        </w:rPr>
      </w:pPr>
      <w:bookmarkStart w:id="650" w:name="_Toc300678541"/>
      <w:r>
        <w:rPr>
          <w:rFonts w:ascii="Times New Roman" w:hAnsi="Times New Roman" w:eastAsia="黑体"/>
          <w:b w:val="0"/>
          <w:bCs w:val="0"/>
          <w:sz w:val="24"/>
        </w:rPr>
        <w:t>9.2 材料代换</w:t>
      </w:r>
      <w:bookmarkEnd w:id="650"/>
    </w:p>
    <w:p w14:paraId="5F8D8F6A">
      <w:pPr>
        <w:spacing w:line="360" w:lineRule="auto"/>
        <w:ind w:firstLine="420" w:firstLineChars="200"/>
        <w:rPr>
          <w:szCs w:val="21"/>
        </w:rPr>
      </w:pPr>
      <w:r>
        <w:rPr>
          <w:szCs w:val="21"/>
        </w:rPr>
        <w:t>9.2.1 如果任何后继法律、法规、规章、规范、标准和规程等等禁止使用合同中约定的材料和工程设备，承包人应当按本款约定的程序使用其他替代品来实施工程或修补缺陷。监理人对使用替代品的批准以及承包人据此使用替代品不应减免合同约定的承包人的任何责任和义务。</w:t>
      </w:r>
    </w:p>
    <w:p w14:paraId="43D3F1AE">
      <w:pPr>
        <w:spacing w:line="360" w:lineRule="auto"/>
        <w:ind w:firstLine="420" w:firstLineChars="200"/>
        <w:rPr>
          <w:szCs w:val="21"/>
        </w:rPr>
      </w:pPr>
      <w:r>
        <w:rPr>
          <w:szCs w:val="21"/>
        </w:rPr>
        <w:t>9.2.2 如果使用替代品，承包人应至少在被替代品按批准的进度计划用于永久工程前56天以书面形式通知监理人并随此通知提交下列文件：</w:t>
      </w:r>
    </w:p>
    <w:p w14:paraId="272A1B72">
      <w:pPr>
        <w:spacing w:line="360" w:lineRule="auto"/>
        <w:ind w:firstLine="420" w:firstLineChars="200"/>
        <w:rPr>
          <w:szCs w:val="21"/>
        </w:rPr>
      </w:pPr>
      <w:r>
        <w:rPr>
          <w:szCs w:val="21"/>
        </w:rPr>
        <w:t>（1）拟被替代的合同约定的材料和工程设备的名称、数量、规格、型号、品牌、性能、价格及其他任何详细资料；</w:t>
      </w:r>
    </w:p>
    <w:p w14:paraId="4E54F3D4">
      <w:pPr>
        <w:spacing w:line="360" w:lineRule="auto"/>
        <w:ind w:firstLine="420" w:firstLineChars="200"/>
        <w:rPr>
          <w:szCs w:val="21"/>
        </w:rPr>
      </w:pPr>
      <w:r>
        <w:rPr>
          <w:szCs w:val="21"/>
        </w:rPr>
        <w:t>（2）拟采用的替代品的名称、数量、规格、型号、品牌、性能、价格及其他任何必要的详细资料；</w:t>
      </w:r>
    </w:p>
    <w:p w14:paraId="794388D1">
      <w:pPr>
        <w:spacing w:line="360" w:lineRule="auto"/>
        <w:ind w:firstLine="420" w:firstLineChars="200"/>
        <w:rPr>
          <w:szCs w:val="21"/>
        </w:rPr>
      </w:pPr>
      <w:r>
        <w:rPr>
          <w:szCs w:val="21"/>
        </w:rPr>
        <w:t>（3）替代品使用的工程部位</w:t>
      </w:r>
      <w:r>
        <w:rPr>
          <w:szCs w:val="21"/>
          <w:u w:val="single"/>
        </w:rPr>
        <w:t xml:space="preserve">                     </w:t>
      </w:r>
      <w:r>
        <w:rPr>
          <w:szCs w:val="21"/>
        </w:rPr>
        <w:t>；</w:t>
      </w:r>
    </w:p>
    <w:p w14:paraId="4A02B430">
      <w:pPr>
        <w:spacing w:line="360" w:lineRule="auto"/>
        <w:ind w:firstLine="420" w:firstLineChars="200"/>
        <w:rPr>
          <w:szCs w:val="21"/>
        </w:rPr>
      </w:pPr>
      <w:r>
        <w:rPr>
          <w:szCs w:val="21"/>
        </w:rPr>
        <w:t>（4）采用替代品的理由和原因说明</w:t>
      </w:r>
      <w:r>
        <w:rPr>
          <w:szCs w:val="21"/>
          <w:u w:val="single"/>
        </w:rPr>
        <w:t xml:space="preserve">                         </w:t>
      </w:r>
      <w:r>
        <w:rPr>
          <w:szCs w:val="21"/>
        </w:rPr>
        <w:t>；</w:t>
      </w:r>
    </w:p>
    <w:p w14:paraId="2D421AF7">
      <w:pPr>
        <w:spacing w:line="360" w:lineRule="auto"/>
        <w:ind w:firstLine="420" w:firstLineChars="200"/>
        <w:rPr>
          <w:szCs w:val="21"/>
        </w:rPr>
      </w:pPr>
      <w:r>
        <w:rPr>
          <w:szCs w:val="21"/>
        </w:rPr>
        <w:t>（5）替代品与合同中约定的产品之间的差异以及使用替代品后可能对工程产生的任何影响</w:t>
      </w:r>
      <w:r>
        <w:rPr>
          <w:szCs w:val="21"/>
          <w:u w:val="single"/>
        </w:rPr>
        <w:t xml:space="preserve">      </w:t>
      </w:r>
      <w:r>
        <w:rPr>
          <w:szCs w:val="21"/>
        </w:rPr>
        <w:t>；</w:t>
      </w:r>
    </w:p>
    <w:p w14:paraId="7174AAC8">
      <w:pPr>
        <w:spacing w:line="360" w:lineRule="auto"/>
        <w:ind w:firstLine="420" w:firstLineChars="200"/>
        <w:rPr>
          <w:szCs w:val="21"/>
        </w:rPr>
      </w:pPr>
      <w:r>
        <w:rPr>
          <w:szCs w:val="21"/>
        </w:rPr>
        <w:t>（6）价格上的差异</w:t>
      </w:r>
      <w:r>
        <w:rPr>
          <w:szCs w:val="21"/>
          <w:u w:val="single"/>
        </w:rPr>
        <w:t xml:space="preserve">             </w:t>
      </w:r>
      <w:r>
        <w:rPr>
          <w:szCs w:val="21"/>
        </w:rPr>
        <w:t>；</w:t>
      </w:r>
    </w:p>
    <w:p w14:paraId="6FCD7E2E">
      <w:pPr>
        <w:spacing w:line="360" w:lineRule="auto"/>
        <w:ind w:firstLine="420" w:firstLineChars="200"/>
        <w:rPr>
          <w:szCs w:val="21"/>
        </w:rPr>
      </w:pPr>
      <w:r>
        <w:rPr>
          <w:szCs w:val="21"/>
        </w:rPr>
        <w:t>（7）监理人为做出适当的决定而随时要求承包人提供的任何其他文件</w:t>
      </w:r>
      <w:r>
        <w:rPr>
          <w:szCs w:val="21"/>
          <w:u w:val="single"/>
        </w:rPr>
        <w:t xml:space="preserve">          </w:t>
      </w:r>
      <w:r>
        <w:rPr>
          <w:szCs w:val="21"/>
        </w:rPr>
        <w:t>。</w:t>
      </w:r>
    </w:p>
    <w:p w14:paraId="7E35BA38">
      <w:pPr>
        <w:spacing w:line="360" w:lineRule="auto"/>
        <w:ind w:firstLine="420" w:firstLineChars="200"/>
        <w:rPr>
          <w:szCs w:val="21"/>
        </w:rPr>
      </w:pPr>
      <w:r>
        <w:rPr>
          <w:szCs w:val="21"/>
        </w:rPr>
        <w:t>监理人在收到此类通知及上述文件后，应在28天内向承包人给出书面指示。如果28天内  监理人未给出书面指示，应视为监理人和发包人已经批准使用上述替代品，承包人可以据此使用替代品。</w:t>
      </w:r>
    </w:p>
    <w:p w14:paraId="711E0B4F">
      <w:pPr>
        <w:spacing w:line="360" w:lineRule="auto"/>
        <w:ind w:firstLine="420" w:firstLineChars="200"/>
        <w:rPr>
          <w:szCs w:val="21"/>
        </w:rPr>
      </w:pPr>
      <w:r>
        <w:rPr>
          <w:szCs w:val="21"/>
        </w:rPr>
        <w:t>9.2.3 任何情况下，替代品都应遵守本合同中对相关材料和工程设备的要求。</w:t>
      </w:r>
    </w:p>
    <w:p w14:paraId="5B4F93D7">
      <w:pPr>
        <w:spacing w:line="360" w:lineRule="auto"/>
        <w:ind w:firstLine="420" w:firstLineChars="200"/>
        <w:rPr>
          <w:szCs w:val="21"/>
        </w:rPr>
      </w:pPr>
      <w:r>
        <w:rPr>
          <w:szCs w:val="21"/>
        </w:rPr>
        <w:t>9.2.4 如果承包人根据本条约定使用了替代品，监理人应与承包人适当协商之后并在合理的期限内确定替代材料和工程设备与合同中约定的材料和工程设备之间的价值差值，并决定：</w:t>
      </w:r>
    </w:p>
    <w:p w14:paraId="073095C0">
      <w:pPr>
        <w:spacing w:line="360" w:lineRule="auto"/>
        <w:ind w:firstLine="420" w:firstLineChars="200"/>
        <w:rPr>
          <w:szCs w:val="21"/>
        </w:rPr>
      </w:pPr>
      <w:r>
        <w:rPr>
          <w:szCs w:val="21"/>
        </w:rPr>
        <w:t>（1）如果替代材料和工程设备的价值高于合同中约定的材料和工程设备的价值，则将高出部分的价值追加到合同价格中并相应地通知承包人；</w:t>
      </w:r>
    </w:p>
    <w:p w14:paraId="2083F4D9">
      <w:pPr>
        <w:spacing w:line="360" w:lineRule="auto"/>
        <w:ind w:firstLine="420" w:firstLineChars="200"/>
        <w:rPr>
          <w:szCs w:val="21"/>
        </w:rPr>
      </w:pPr>
      <w:r>
        <w:rPr>
          <w:szCs w:val="21"/>
        </w:rPr>
        <w:t>（2）如果替代材料和工程设备的价值低于合同中约定的材料和工程设备的价值，则将节余部分的价值从合同价格中扣除并相应地通知承包人。</w:t>
      </w:r>
    </w:p>
    <w:p w14:paraId="48E4A13A">
      <w:pPr>
        <w:pStyle w:val="5"/>
        <w:keepNext/>
        <w:keepLines/>
        <w:widowControl w:val="0"/>
        <w:jc w:val="left"/>
        <w:rPr>
          <w:rFonts w:eastAsia="黑体"/>
          <w:b w:val="0"/>
          <w:bCs w:val="0"/>
          <w:sz w:val="28"/>
          <w:szCs w:val="28"/>
        </w:rPr>
      </w:pPr>
      <w:bookmarkStart w:id="651" w:name="_Toc79998420"/>
      <w:bookmarkStart w:id="652" w:name="_Toc79998864"/>
      <w:bookmarkStart w:id="653" w:name="_Toc9178561"/>
      <w:bookmarkStart w:id="654" w:name="_Toc300678542"/>
      <w:bookmarkStart w:id="655" w:name="_Toc80006134"/>
      <w:bookmarkStart w:id="656" w:name="_Toc80006244"/>
      <w:r>
        <w:rPr>
          <w:rFonts w:eastAsia="黑体"/>
          <w:b w:val="0"/>
          <w:bCs w:val="0"/>
          <w:sz w:val="28"/>
          <w:szCs w:val="28"/>
        </w:rPr>
        <w:t>10.进口材料和工程设备</w:t>
      </w:r>
      <w:bookmarkEnd w:id="651"/>
      <w:bookmarkEnd w:id="652"/>
      <w:bookmarkEnd w:id="653"/>
      <w:bookmarkEnd w:id="654"/>
      <w:bookmarkEnd w:id="655"/>
      <w:bookmarkEnd w:id="656"/>
    </w:p>
    <w:p w14:paraId="7FD20DC6">
      <w:pPr>
        <w:spacing w:line="360" w:lineRule="auto"/>
        <w:ind w:firstLine="420" w:firstLineChars="200"/>
        <w:rPr>
          <w:szCs w:val="21"/>
        </w:rPr>
      </w:pPr>
      <w:r>
        <w:rPr>
          <w:szCs w:val="21"/>
        </w:rPr>
        <w:t>10.1 本工程需要进口的材料和工程设备如下：</w:t>
      </w:r>
      <w:r>
        <w:rPr>
          <w:szCs w:val="21"/>
          <w:u w:val="single"/>
        </w:rPr>
        <w:t xml:space="preserve">     </w:t>
      </w:r>
      <w:r>
        <w:rPr>
          <w:szCs w:val="21"/>
        </w:rPr>
        <w:t>。</w:t>
      </w:r>
    </w:p>
    <w:p w14:paraId="041F5178">
      <w:pPr>
        <w:spacing w:line="360" w:lineRule="auto"/>
        <w:ind w:firstLine="420" w:firstLineChars="200"/>
        <w:rPr>
          <w:szCs w:val="21"/>
        </w:rPr>
      </w:pPr>
      <w:r>
        <w:rPr>
          <w:szCs w:val="21"/>
        </w:rPr>
        <w:t>10.2 上述进口材料和工程设备采购、进口、报关、清关、商检、境内运输（包括保险）、保管的责任以及费用承担方式划分如下：</w:t>
      </w:r>
      <w:r>
        <w:rPr>
          <w:szCs w:val="21"/>
          <w:u w:val="single"/>
        </w:rPr>
        <w:t xml:space="preserve">     </w:t>
      </w:r>
      <w:r>
        <w:rPr>
          <w:szCs w:val="21"/>
        </w:rPr>
        <w:t>。</w:t>
      </w:r>
    </w:p>
    <w:p w14:paraId="70EE58C2">
      <w:pPr>
        <w:pStyle w:val="5"/>
        <w:keepNext/>
        <w:keepLines/>
        <w:widowControl w:val="0"/>
        <w:jc w:val="left"/>
        <w:rPr>
          <w:rFonts w:eastAsia="黑体"/>
          <w:b w:val="0"/>
          <w:bCs w:val="0"/>
          <w:sz w:val="28"/>
          <w:szCs w:val="28"/>
        </w:rPr>
      </w:pPr>
      <w:bookmarkStart w:id="657" w:name="_Toc300678543"/>
      <w:bookmarkStart w:id="658" w:name="_Toc79998421"/>
      <w:bookmarkStart w:id="659" w:name="_Toc80006245"/>
      <w:bookmarkStart w:id="660" w:name="_Toc80006135"/>
      <w:bookmarkStart w:id="661" w:name="_Toc9178562"/>
      <w:bookmarkStart w:id="662" w:name="_Toc79998865"/>
      <w:r>
        <w:rPr>
          <w:rFonts w:eastAsia="黑体"/>
          <w:b w:val="0"/>
          <w:bCs w:val="0"/>
          <w:sz w:val="28"/>
          <w:szCs w:val="28"/>
        </w:rPr>
        <w:t>11.进度报告和进度例会</w:t>
      </w:r>
      <w:bookmarkEnd w:id="657"/>
      <w:bookmarkEnd w:id="658"/>
      <w:bookmarkEnd w:id="659"/>
      <w:bookmarkEnd w:id="660"/>
      <w:bookmarkEnd w:id="661"/>
      <w:bookmarkEnd w:id="662"/>
    </w:p>
    <w:p w14:paraId="41F5DAE7">
      <w:pPr>
        <w:pStyle w:val="6"/>
        <w:rPr>
          <w:rFonts w:ascii="Times New Roman" w:hAnsi="Times New Roman" w:eastAsia="黑体"/>
          <w:b w:val="0"/>
          <w:bCs w:val="0"/>
          <w:sz w:val="24"/>
        </w:rPr>
      </w:pPr>
      <w:bookmarkStart w:id="663" w:name="_Toc300678544"/>
      <w:r>
        <w:rPr>
          <w:rFonts w:ascii="Times New Roman" w:hAnsi="Times New Roman" w:eastAsia="黑体"/>
          <w:b w:val="0"/>
          <w:bCs w:val="0"/>
          <w:sz w:val="24"/>
        </w:rPr>
        <w:t>11.1 进度报告</w:t>
      </w:r>
      <w:bookmarkEnd w:id="663"/>
    </w:p>
    <w:p w14:paraId="09CE1DFA">
      <w:pPr>
        <w:spacing w:line="360" w:lineRule="auto"/>
        <w:ind w:firstLine="420" w:firstLineChars="200"/>
        <w:jc w:val="left"/>
        <w:rPr>
          <w:szCs w:val="21"/>
        </w:rPr>
      </w:pPr>
      <w:r>
        <w:rPr>
          <w:szCs w:val="21"/>
        </w:rPr>
        <w:t>11.1.1 施工过程中，承包人应向监理人指定的代表呈递一份每日的日进度报表、每周的周进度报表和每月的月进度报表。除非监理人同意，日进度报表应在次日上午九点前递交，周进度报表应在次周的周一上午九时前递交，月进度报表应随合同条款约定的进度付款申请单一并递交。</w:t>
      </w:r>
    </w:p>
    <w:p w14:paraId="6CC7462D">
      <w:pPr>
        <w:spacing w:line="360" w:lineRule="auto"/>
        <w:ind w:firstLine="420" w:firstLineChars="200"/>
        <w:jc w:val="left"/>
        <w:rPr>
          <w:szCs w:val="21"/>
        </w:rPr>
      </w:pPr>
      <w:r>
        <w:rPr>
          <w:szCs w:val="21"/>
        </w:rPr>
        <w:t>11.1.2 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4A31100E">
      <w:pPr>
        <w:spacing w:line="360" w:lineRule="auto"/>
        <w:ind w:firstLine="420" w:firstLineChars="200"/>
        <w:jc w:val="left"/>
        <w:rPr>
          <w:szCs w:val="21"/>
        </w:rPr>
      </w:pPr>
      <w:r>
        <w:rPr>
          <w:szCs w:val="21"/>
        </w:rPr>
        <w:t>11.1.3 月进度报表应当反映月完成工程量和累计完成工程量（包括永久工程和临时工程）、材料实际进货、消耗和库存量、现场施工设备的投运数量和运行状况、工程设备的到货情况、劳动力数量（本月及预计未来三个月劳动力的数量）、当前影响施工进度计划的因素和采取的改进措施、进度计划调整及其说明、质量事故和质量缺陷处理纪录、质量状况评价、安全施工措施计划实施情况、安全事故以及人员伤亡和财产损失情况（如果有）、环境保护措施实施和文明施工措施实施情况。</w:t>
      </w:r>
    </w:p>
    <w:p w14:paraId="5F3BDB1D">
      <w:pPr>
        <w:spacing w:line="360" w:lineRule="auto"/>
        <w:ind w:left="-21" w:leftChars="-10" w:firstLine="420" w:firstLineChars="200"/>
        <w:jc w:val="left"/>
        <w:rPr>
          <w:szCs w:val="21"/>
        </w:rPr>
      </w:pPr>
      <w:r>
        <w:rPr>
          <w:szCs w:val="21"/>
        </w:rPr>
        <w:t>11.1.4 月进度报告还应附有一组充分显示工程形象进度的定点摄影照片。照片应当在经监理人批准的不同位置定期拍摄，每张照片都应标上相应的拍摄日期和简要文字说明，且应用经发包人和监理人批准的标准或格式装裱后呈交。</w:t>
      </w:r>
    </w:p>
    <w:p w14:paraId="2EBA5333">
      <w:pPr>
        <w:spacing w:line="360" w:lineRule="auto"/>
        <w:ind w:firstLine="420" w:firstLineChars="200"/>
        <w:jc w:val="left"/>
        <w:rPr>
          <w:szCs w:val="21"/>
        </w:rPr>
      </w:pPr>
      <w:r>
        <w:rPr>
          <w:szCs w:val="21"/>
        </w:rPr>
        <w:t>11.1.5 各个进度报表的格式和内容应经过监理人的审批。进度报表应如实填写，由承包人委托代理人签名，并报监理人的指定代表签名确认后再行分发。</w:t>
      </w:r>
    </w:p>
    <w:p w14:paraId="67ED334B">
      <w:pPr>
        <w:spacing w:line="360" w:lineRule="auto"/>
        <w:ind w:firstLine="420" w:firstLineChars="200"/>
        <w:jc w:val="left"/>
        <w:rPr>
          <w:szCs w:val="21"/>
        </w:rPr>
      </w:pPr>
      <w:r>
        <w:rPr>
          <w:szCs w:val="21"/>
        </w:rPr>
        <w:t>11.1.6 如果监理人认为必要，进度报告和进度照片应同时以存储在磁盘或光盘中的数据文件的形式递交给发包人和监理人。数据文件采用的应用软件及其版本应经过监理人的审批。</w:t>
      </w:r>
    </w:p>
    <w:p w14:paraId="6F00DB64">
      <w:pPr>
        <w:spacing w:line="360" w:lineRule="auto"/>
        <w:ind w:firstLine="420" w:firstLineChars="200"/>
        <w:jc w:val="left"/>
        <w:rPr>
          <w:szCs w:val="21"/>
        </w:rPr>
      </w:pPr>
      <w:r>
        <w:rPr>
          <w:szCs w:val="21"/>
        </w:rPr>
        <w:t>11.1.7 有关进度报告的其他要求：</w:t>
      </w:r>
      <w:r>
        <w:rPr>
          <w:szCs w:val="21"/>
          <w:u w:val="single"/>
        </w:rPr>
        <w:t xml:space="preserve">     </w:t>
      </w:r>
      <w:r>
        <w:rPr>
          <w:szCs w:val="21"/>
        </w:rPr>
        <w:t>。</w:t>
      </w:r>
    </w:p>
    <w:p w14:paraId="1F6896A4">
      <w:pPr>
        <w:pStyle w:val="6"/>
        <w:rPr>
          <w:rFonts w:ascii="Times New Roman" w:hAnsi="Times New Roman" w:eastAsia="黑体"/>
          <w:b w:val="0"/>
          <w:bCs w:val="0"/>
          <w:sz w:val="24"/>
        </w:rPr>
      </w:pPr>
      <w:bookmarkStart w:id="664" w:name="_Toc300678545"/>
      <w:r>
        <w:rPr>
          <w:rFonts w:ascii="Times New Roman" w:hAnsi="Times New Roman" w:eastAsia="黑体"/>
          <w:b w:val="0"/>
          <w:bCs w:val="0"/>
          <w:sz w:val="24"/>
        </w:rPr>
        <w:t>11.2 进度例会</w:t>
      </w:r>
      <w:bookmarkEnd w:id="664"/>
    </w:p>
    <w:p w14:paraId="0FC94A83">
      <w:pPr>
        <w:spacing w:line="360" w:lineRule="auto"/>
        <w:ind w:firstLine="420" w:firstLineChars="200"/>
        <w:jc w:val="left"/>
        <w:rPr>
          <w:szCs w:val="21"/>
        </w:rPr>
      </w:pPr>
      <w:r>
        <w:rPr>
          <w:szCs w:val="21"/>
        </w:rPr>
        <w:t>11.2.1 监理人将主持召开有发包人、承包人、独立承包人和主要分包人等与本工程建设有关各方出席的每周一次的进度例会。必要时，监理人可随时召集所有上述各方或其中部分单位参加的会议。承包人应保证能代表其当场作出决定的高级管理人员出席会议。</w:t>
      </w:r>
    </w:p>
    <w:p w14:paraId="5A5017B3">
      <w:pPr>
        <w:spacing w:line="360" w:lineRule="auto"/>
        <w:ind w:firstLine="420" w:firstLineChars="200"/>
        <w:jc w:val="left"/>
        <w:rPr>
          <w:szCs w:val="21"/>
        </w:rPr>
      </w:pPr>
      <w:r>
        <w:rPr>
          <w:szCs w:val="21"/>
        </w:rPr>
        <w:t>11.2.2 进度例会的内容将涉及合同管理、进度协调和工程管理的各个方面，由监理人准备的会议议题将随会议通知在会议召开前至少24小时发给各参会方。</w:t>
      </w:r>
    </w:p>
    <w:p w14:paraId="6EBA7A65">
      <w:pPr>
        <w:spacing w:line="360" w:lineRule="auto"/>
        <w:ind w:firstLine="420" w:firstLineChars="200"/>
        <w:jc w:val="left"/>
        <w:rPr>
          <w:szCs w:val="21"/>
        </w:rPr>
      </w:pPr>
      <w:r>
        <w:rPr>
          <w:szCs w:val="21"/>
        </w:rPr>
        <w:t>11.2.3 监理人应当做好会议记录，并在会议结束时由与会各方签字确认。监理人应根据会议记录整理出会议纪要，并在相应会议后24小时内分发给出席会议的各方。会议纪要应当如实反映会议记录的内容，包括任何决定、存在的问题、责任方、有关工作的时间目标等等。各方在收到会议纪要后24小时内给予签字确认，如有任何异议，应将有关异议以书面形式通知监理人，由监理人与有异议一方或各方共同核对会议记录，有异议的一方或者各方对与会议记录内容一致的会议纪要必须给予签字确认，否则监理人可以用会议记录作为会议纪要。经参会各方签字认可的会议纪要对各方有合同约束力。</w:t>
      </w:r>
    </w:p>
    <w:p w14:paraId="6165C4B8">
      <w:pPr>
        <w:spacing w:line="360" w:lineRule="auto"/>
        <w:ind w:firstLine="420" w:firstLineChars="200"/>
        <w:jc w:val="left"/>
        <w:rPr>
          <w:szCs w:val="21"/>
        </w:rPr>
      </w:pPr>
      <w:r>
        <w:rPr>
          <w:szCs w:val="21"/>
        </w:rPr>
        <w:t>11.2.4 有关进度例会的其他要求：</w:t>
      </w:r>
      <w:r>
        <w:rPr>
          <w:szCs w:val="21"/>
          <w:u w:val="single"/>
        </w:rPr>
        <w:t xml:space="preserve">     </w:t>
      </w:r>
      <w:r>
        <w:rPr>
          <w:szCs w:val="21"/>
        </w:rPr>
        <w:t>。</w:t>
      </w:r>
    </w:p>
    <w:p w14:paraId="074EA9BF">
      <w:pPr>
        <w:pStyle w:val="5"/>
        <w:keepNext/>
        <w:keepLines/>
        <w:widowControl w:val="0"/>
        <w:jc w:val="left"/>
        <w:rPr>
          <w:rFonts w:eastAsia="黑体"/>
          <w:b w:val="0"/>
          <w:bCs w:val="0"/>
          <w:sz w:val="28"/>
          <w:szCs w:val="28"/>
        </w:rPr>
      </w:pPr>
      <w:bookmarkStart w:id="665" w:name="_Toc79998866"/>
      <w:bookmarkStart w:id="666" w:name="_Toc9178563"/>
      <w:bookmarkStart w:id="667" w:name="_Toc80006136"/>
      <w:bookmarkStart w:id="668" w:name="_Toc80006246"/>
      <w:bookmarkStart w:id="669" w:name="_Toc79998422"/>
      <w:bookmarkStart w:id="670" w:name="_Toc300678546"/>
      <w:r>
        <w:rPr>
          <w:rFonts w:eastAsia="黑体"/>
          <w:b w:val="0"/>
          <w:bCs w:val="0"/>
          <w:sz w:val="28"/>
          <w:szCs w:val="28"/>
        </w:rPr>
        <w:t>12.试验和检验</w:t>
      </w:r>
      <w:bookmarkEnd w:id="665"/>
      <w:bookmarkEnd w:id="666"/>
      <w:bookmarkEnd w:id="667"/>
      <w:bookmarkEnd w:id="668"/>
      <w:bookmarkEnd w:id="669"/>
      <w:bookmarkEnd w:id="670"/>
    </w:p>
    <w:p w14:paraId="0D86338F">
      <w:pPr>
        <w:spacing w:line="360" w:lineRule="auto"/>
        <w:ind w:firstLine="420" w:firstLineChars="200"/>
        <w:jc w:val="left"/>
        <w:rPr>
          <w:szCs w:val="21"/>
        </w:rPr>
      </w:pPr>
      <w:r>
        <w:rPr>
          <w:szCs w:val="21"/>
        </w:rPr>
        <w:t>12.1 承包人应当按照工程施工验收规范和标准的规定和合同条款的约定，对用于永久工程的主要材料、半成品、成品、建筑构配件、工程设备等进行试验和检验。</w:t>
      </w:r>
    </w:p>
    <w:p w14:paraId="6529D8ED">
      <w:pPr>
        <w:spacing w:line="360" w:lineRule="auto"/>
        <w:ind w:firstLine="420" w:firstLineChars="200"/>
        <w:jc w:val="left"/>
        <w:rPr>
          <w:szCs w:val="21"/>
        </w:rPr>
      </w:pPr>
      <w:r>
        <w:rPr>
          <w:szCs w:val="21"/>
        </w:rPr>
        <w:t>12.2 本工程需要承包人进行试验和检验的材料、工程设备和工艺如下：</w:t>
      </w:r>
      <w:r>
        <w:rPr>
          <w:szCs w:val="21"/>
          <w:u w:val="single"/>
        </w:rPr>
        <w:t xml:space="preserve">     </w:t>
      </w:r>
      <w:r>
        <w:rPr>
          <w:szCs w:val="21"/>
        </w:rPr>
        <w:t>。</w:t>
      </w:r>
    </w:p>
    <w:p w14:paraId="4A0B035D">
      <w:pPr>
        <w:spacing w:line="360" w:lineRule="auto"/>
        <w:ind w:firstLine="420" w:firstLineChars="200"/>
        <w:jc w:val="left"/>
        <w:rPr>
          <w:szCs w:val="21"/>
        </w:rPr>
      </w:pPr>
      <w:r>
        <w:rPr>
          <w:szCs w:val="21"/>
        </w:rPr>
        <w:t>监理人可以根据工程需要，指示承包人进行其他现场材料和工艺的试验和检验。</w:t>
      </w:r>
    </w:p>
    <w:p w14:paraId="25F1C1B0">
      <w:pPr>
        <w:spacing w:line="360" w:lineRule="auto"/>
        <w:ind w:firstLine="420" w:firstLineChars="200"/>
        <w:jc w:val="left"/>
        <w:rPr>
          <w:szCs w:val="21"/>
        </w:rPr>
      </w:pPr>
      <w:r>
        <w:rPr>
          <w:szCs w:val="21"/>
        </w:rPr>
        <w:t xml:space="preserve">12.3 </w:t>
      </w:r>
      <w:r>
        <w:rPr>
          <w:spacing w:val="4"/>
          <w:szCs w:val="21"/>
        </w:rPr>
        <w:t>本工程需要由监理人和承包人共同进行试验和检验的材料、工程设备和工艺如下：</w:t>
      </w:r>
      <w:r>
        <w:rPr>
          <w:szCs w:val="21"/>
          <w:u w:val="single"/>
        </w:rPr>
        <w:t xml:space="preserve">     </w:t>
      </w:r>
      <w:r>
        <w:rPr>
          <w:szCs w:val="21"/>
        </w:rPr>
        <w:t>。</w:t>
      </w:r>
    </w:p>
    <w:p w14:paraId="3215C4BB">
      <w:pPr>
        <w:spacing w:line="360" w:lineRule="auto"/>
        <w:ind w:firstLine="420" w:firstLineChars="200"/>
        <w:jc w:val="left"/>
        <w:rPr>
          <w:szCs w:val="21"/>
        </w:rPr>
      </w:pPr>
      <w:r>
        <w:rPr>
          <w:szCs w:val="21"/>
        </w:rPr>
        <w:t>12.4 本条上述约定需要进行检验的材料、工程设备和工艺在经过检验并获得监理人批准以前，不得用于任何永久工程。</w:t>
      </w:r>
    </w:p>
    <w:p w14:paraId="5A4B3E79">
      <w:pPr>
        <w:spacing w:line="360" w:lineRule="auto"/>
        <w:ind w:firstLine="420" w:firstLineChars="200"/>
        <w:jc w:val="left"/>
        <w:rPr>
          <w:szCs w:val="21"/>
        </w:rPr>
      </w:pPr>
      <w:r>
        <w:rPr>
          <w:szCs w:val="21"/>
        </w:rPr>
        <w:t>12.5 承包人应为任何材料、工程设备和工艺的检查、检测和检验提供劳务、电力、燃料、备用品、设备和仪器以及必要的协助。监理人及其任何授权人员应能够在任何时候进入现场及正在为工程制造、装配、准备材料和（或）工程设备的车间和场所进行任何必要的检查。无论这些车间和场所是否属于承包人，承包人都应提供一切便利，并协助其取得相应的权力和（或）许可。</w:t>
      </w:r>
    </w:p>
    <w:p w14:paraId="38A704E8">
      <w:pPr>
        <w:spacing w:line="360" w:lineRule="auto"/>
        <w:ind w:firstLine="420" w:firstLineChars="200"/>
        <w:jc w:val="left"/>
        <w:rPr>
          <w:szCs w:val="21"/>
        </w:rPr>
      </w:pPr>
      <w:r>
        <w:rPr>
          <w:szCs w:val="21"/>
        </w:rPr>
        <w:t>12.6 如果检查、检测、检验或试验的结果表明，材料、工程设备和工艺有缺陷或不符合合同约定，监理人和发包人可拒收此类材料、工程设备和工艺，并应立即通知承包人同时说明理由。承包人应立即修复上述缺陷并保证其符合合同约定。若监理人或发包人要求对此类工程设备、材料、设计或工艺重新进行检验，则此类检验应按相同条款和条件重新进行。如果此类拒收和重新检验致使发包人产生了额外费用，则此类费用应由承包人支付给发包人，或从发包人应支付给承包人的款项中扣除。</w:t>
      </w:r>
    </w:p>
    <w:p w14:paraId="68FFEB9C">
      <w:pPr>
        <w:spacing w:line="360" w:lineRule="auto"/>
        <w:ind w:firstLine="420" w:firstLineChars="200"/>
        <w:jc w:val="left"/>
        <w:rPr>
          <w:szCs w:val="21"/>
        </w:rPr>
      </w:pPr>
      <w:r>
        <w:rPr>
          <w:szCs w:val="21"/>
        </w:rPr>
        <w:t>12.7 承包人应在监理人的监督下，对涉及结构安全的试块、试件以及有关材料进行现场取样，并送质量检测单位进行检测。</w:t>
      </w:r>
    </w:p>
    <w:p w14:paraId="4508E8D9">
      <w:pPr>
        <w:spacing w:line="360" w:lineRule="auto"/>
        <w:ind w:firstLine="420" w:firstLineChars="200"/>
        <w:jc w:val="left"/>
        <w:rPr>
          <w:szCs w:val="21"/>
        </w:rPr>
      </w:pPr>
      <w:r>
        <w:rPr>
          <w:szCs w:val="21"/>
        </w:rPr>
        <w:t>12.8  除合同另有约定外，承包人应负担本合同项下的所有材料、工程设备和工艺检验的费用。</w:t>
      </w:r>
    </w:p>
    <w:p w14:paraId="7E2FF945">
      <w:pPr>
        <w:pStyle w:val="5"/>
        <w:keepNext/>
        <w:keepLines/>
        <w:widowControl w:val="0"/>
        <w:jc w:val="left"/>
        <w:rPr>
          <w:rFonts w:eastAsia="黑体"/>
          <w:b w:val="0"/>
          <w:bCs w:val="0"/>
          <w:sz w:val="28"/>
          <w:szCs w:val="28"/>
        </w:rPr>
      </w:pPr>
      <w:bookmarkStart w:id="671" w:name="_Toc80006137"/>
      <w:bookmarkStart w:id="672" w:name="_Toc79998867"/>
      <w:bookmarkStart w:id="673" w:name="_Toc9178564"/>
      <w:bookmarkStart w:id="674" w:name="_Toc80006247"/>
      <w:bookmarkStart w:id="675" w:name="_Toc300678547"/>
      <w:bookmarkStart w:id="676" w:name="_Toc79998423"/>
      <w:r>
        <w:rPr>
          <w:rFonts w:eastAsia="黑体"/>
          <w:b w:val="0"/>
          <w:bCs w:val="0"/>
          <w:sz w:val="28"/>
          <w:szCs w:val="28"/>
        </w:rPr>
        <w:t>13.计日工</w:t>
      </w:r>
      <w:bookmarkEnd w:id="671"/>
      <w:bookmarkEnd w:id="672"/>
      <w:bookmarkEnd w:id="673"/>
      <w:bookmarkEnd w:id="674"/>
      <w:bookmarkEnd w:id="675"/>
      <w:bookmarkEnd w:id="676"/>
    </w:p>
    <w:p w14:paraId="25B6E665">
      <w:pPr>
        <w:spacing w:line="360" w:lineRule="auto"/>
        <w:ind w:firstLine="420" w:firstLineChars="200"/>
        <w:jc w:val="left"/>
        <w:rPr>
          <w:szCs w:val="21"/>
        </w:rPr>
      </w:pPr>
      <w:r>
        <w:rPr>
          <w:szCs w:val="21"/>
        </w:rPr>
        <w:t>13.1 合同条款约定的计日工，一般适用于合同约定之外的或者因变更而产生的、工程量清单中没有设立相应项目或者即便有相应项目但因工作条件发生变化而无法适用的额外工作，尤其是那些时间不允许事先商定价格的额外工作。计日工在发包人认为必要时，由监理人按合同条款约定通知承包人实施。</w:t>
      </w:r>
    </w:p>
    <w:p w14:paraId="072FF397">
      <w:pPr>
        <w:spacing w:line="360" w:lineRule="auto"/>
        <w:ind w:firstLine="420" w:firstLineChars="200"/>
        <w:jc w:val="left"/>
        <w:rPr>
          <w:szCs w:val="21"/>
        </w:rPr>
      </w:pPr>
      <w:r>
        <w:rPr>
          <w:szCs w:val="21"/>
        </w:rPr>
        <w:t>13.2 在工程实际开工后14天内，承包人应当按合同条款约定的计日工报表内容，准备一份计日工日报表的格式，报送监理人审批，监理人应当在收到之日后7天内给予批复或提出修改意见。</w:t>
      </w:r>
    </w:p>
    <w:p w14:paraId="76409E0C">
      <w:pPr>
        <w:spacing w:line="360" w:lineRule="auto"/>
        <w:ind w:firstLine="420" w:firstLineChars="200"/>
        <w:jc w:val="left"/>
        <w:rPr>
          <w:szCs w:val="21"/>
        </w:rPr>
      </w:pPr>
      <w:r>
        <w:rPr>
          <w:szCs w:val="21"/>
        </w:rPr>
        <w:t>13.3 按计日工实施相关变更的过程中，承包人应当按经监理人批准的计日工日报表格式，每天提交计日工报表和有关凭证，报送监理人审批，监理人应当在收到相关报表和凭证后24小时内给予批复。</w:t>
      </w:r>
    </w:p>
    <w:p w14:paraId="619B2EFA">
      <w:pPr>
        <w:spacing w:line="360" w:lineRule="auto"/>
        <w:ind w:firstLine="420" w:firstLineChars="200"/>
        <w:jc w:val="left"/>
        <w:rPr>
          <w:szCs w:val="21"/>
        </w:rPr>
      </w:pPr>
      <w:r>
        <w:rPr>
          <w:szCs w:val="21"/>
        </w:rPr>
        <w:t>13.4 计日工劳务按工日（8小时）计量，单次4小时以内按0.5个工日，单次4小时至8小时按1个工日，加班时间按照国家劳动法律法规的规定办理。实施计日工的劳务人员仅应包括直接从事计日工工作的工人和班组长（如果有），不应包括工长及其以上管理人员。</w:t>
      </w:r>
    </w:p>
    <w:p w14:paraId="5457D5C7">
      <w:pPr>
        <w:spacing w:line="360" w:lineRule="auto"/>
        <w:ind w:firstLine="420" w:firstLineChars="200"/>
        <w:jc w:val="left"/>
        <w:rPr>
          <w:szCs w:val="21"/>
        </w:rPr>
      </w:pPr>
      <w:r>
        <w:rPr>
          <w:szCs w:val="21"/>
        </w:rPr>
        <w:t>13.5 已标价工程量清单计日工材料表中未列出的材料，实际发生于计日工时，其价格按照经监理人事先审批的材料运到现场的价格和有关材料采购的发票票面价格（运到现场价）中的较低者结算，另计一个在计日工材料表中填写的包括承包人企业管理费、利润在内的一个固定百分比，规费和税金另计。</w:t>
      </w:r>
    </w:p>
    <w:p w14:paraId="6F0AF340">
      <w:pPr>
        <w:spacing w:line="360" w:lineRule="auto"/>
        <w:ind w:firstLine="420" w:firstLineChars="200"/>
        <w:jc w:val="left"/>
        <w:rPr>
          <w:szCs w:val="21"/>
        </w:rPr>
      </w:pPr>
      <w:r>
        <w:rPr>
          <w:szCs w:val="21"/>
        </w:rPr>
        <w:t>13.6 施工机械按台班计量（8小时），单次4小时以内按0.5个台班，单次4小时至8小时按1个台班，操作人员加班时间按照国家劳动法律法规的规定办理。计日工如果需要使用场外施工机械，台班费用和进出场费用按市场平均价格，由承包人事后报监理人审批。</w:t>
      </w:r>
    </w:p>
    <w:p w14:paraId="28008B73">
      <w:pPr>
        <w:spacing w:line="360" w:lineRule="auto"/>
        <w:ind w:firstLine="420" w:firstLineChars="200"/>
        <w:jc w:val="left"/>
        <w:rPr>
          <w:szCs w:val="21"/>
        </w:rPr>
      </w:pPr>
      <w:r>
        <w:rPr>
          <w:szCs w:val="21"/>
        </w:rPr>
        <w:t>13.7 关于计日工的其他约定：</w:t>
      </w:r>
      <w:r>
        <w:rPr>
          <w:szCs w:val="21"/>
          <w:u w:val="single"/>
        </w:rPr>
        <w:t xml:space="preserve">     </w:t>
      </w:r>
      <w:r>
        <w:rPr>
          <w:szCs w:val="21"/>
        </w:rPr>
        <w:t>。</w:t>
      </w:r>
    </w:p>
    <w:p w14:paraId="0A4DBE76">
      <w:pPr>
        <w:pStyle w:val="5"/>
        <w:keepNext/>
        <w:keepLines/>
        <w:widowControl w:val="0"/>
        <w:jc w:val="left"/>
        <w:rPr>
          <w:rFonts w:eastAsia="黑体"/>
          <w:b w:val="0"/>
          <w:bCs w:val="0"/>
          <w:sz w:val="28"/>
          <w:szCs w:val="28"/>
        </w:rPr>
      </w:pPr>
      <w:bookmarkStart w:id="677" w:name="_Toc79998868"/>
      <w:bookmarkStart w:id="678" w:name="_Toc9178565"/>
      <w:bookmarkStart w:id="679" w:name="_Toc300678548"/>
      <w:bookmarkStart w:id="680" w:name="_Toc80006248"/>
      <w:bookmarkStart w:id="681" w:name="_Toc79998424"/>
      <w:bookmarkStart w:id="682" w:name="_Toc80006138"/>
      <w:r>
        <w:rPr>
          <w:rFonts w:eastAsia="黑体"/>
          <w:b w:val="0"/>
          <w:bCs w:val="0"/>
          <w:sz w:val="28"/>
          <w:szCs w:val="28"/>
        </w:rPr>
        <w:t>14.计量与支付</w:t>
      </w:r>
      <w:bookmarkEnd w:id="677"/>
      <w:bookmarkEnd w:id="678"/>
      <w:bookmarkEnd w:id="679"/>
      <w:bookmarkEnd w:id="680"/>
      <w:bookmarkEnd w:id="681"/>
      <w:bookmarkEnd w:id="682"/>
    </w:p>
    <w:p w14:paraId="470C7E8D">
      <w:pPr>
        <w:pStyle w:val="6"/>
        <w:rPr>
          <w:rFonts w:ascii="Times New Roman" w:hAnsi="Times New Roman" w:eastAsia="黑体"/>
          <w:b w:val="0"/>
          <w:bCs w:val="0"/>
          <w:sz w:val="24"/>
        </w:rPr>
      </w:pPr>
      <w:bookmarkStart w:id="683" w:name="_Toc300678549"/>
      <w:r>
        <w:rPr>
          <w:rFonts w:ascii="Times New Roman" w:hAnsi="Times New Roman" w:eastAsia="黑体"/>
          <w:b w:val="0"/>
          <w:bCs w:val="0"/>
          <w:sz w:val="24"/>
        </w:rPr>
        <w:t>14.1 付款申请单</w:t>
      </w:r>
      <w:bookmarkEnd w:id="683"/>
    </w:p>
    <w:p w14:paraId="54ECFEAD">
      <w:pPr>
        <w:spacing w:line="360" w:lineRule="auto"/>
        <w:ind w:firstLine="420" w:firstLineChars="200"/>
        <w:jc w:val="left"/>
        <w:rPr>
          <w:szCs w:val="21"/>
        </w:rPr>
      </w:pPr>
      <w:r>
        <w:rPr>
          <w:szCs w:val="21"/>
        </w:rPr>
        <w:t>14.1.1 在工程实际开工后14天内，承包人应当按照合同条款的约定，准备一份已完工程量报表、进度付款申请单和计量文件的格式等报送监理人，监理人应当在收到承包人报送的格式后7天内给予批复或者提出修改意见。</w:t>
      </w:r>
    </w:p>
    <w:p w14:paraId="269572DD">
      <w:pPr>
        <w:spacing w:line="360" w:lineRule="auto"/>
        <w:ind w:firstLine="420" w:firstLineChars="200"/>
        <w:jc w:val="left"/>
        <w:rPr>
          <w:szCs w:val="21"/>
        </w:rPr>
      </w:pPr>
      <w:r>
        <w:rPr>
          <w:szCs w:val="21"/>
        </w:rPr>
        <w:t>14.1.2 根据合同条款，承包人应当在合同约定的每个付款周期末，对当期完成的各项工程量进行计量和计价，并按照约定，对当期应增加和扣减的各类款项进行梳理和汇总，按经监理人批准的格式和合同条款约定的份数和内容准备并向监理人递交进度付款申请单，并将进度付款申请单连同已完工程量报表、有关计量资料以及能够证明其进度付款申请单中所索要款项符合合同约定的各个支持性文件同时报送监理人审批。</w:t>
      </w:r>
    </w:p>
    <w:p w14:paraId="0CA3F7DF">
      <w:pPr>
        <w:spacing w:line="360" w:lineRule="auto"/>
        <w:ind w:firstLine="420" w:firstLineChars="200"/>
        <w:jc w:val="left"/>
        <w:rPr>
          <w:szCs w:val="21"/>
        </w:rPr>
      </w:pPr>
      <w:r>
        <w:rPr>
          <w:szCs w:val="21"/>
        </w:rPr>
        <w:t>14.1.3 竣工付款申请单的内容按合同条款的约定。采用单价合同形式的，竣工付款申请单应当附上按合同条款确定的结算工程量和最近一</w:t>
      </w:r>
      <w:r>
        <w:rPr>
          <w:rFonts w:hint="eastAsia"/>
          <w:szCs w:val="21"/>
        </w:rPr>
        <w:t>次</w:t>
      </w:r>
      <w:r>
        <w:rPr>
          <w:szCs w:val="21"/>
        </w:rPr>
        <w:t>进度付款和竣工付款之间完成的各项目的工程量计量文件。采用总价合同形式的，签约合同价所基于的工程量就是相应的竣工结算工程量，但是，变更应按合同约定进行计量和计价。</w:t>
      </w:r>
    </w:p>
    <w:p w14:paraId="37A9DEB3">
      <w:pPr>
        <w:spacing w:line="360" w:lineRule="auto"/>
        <w:ind w:firstLine="420" w:firstLineChars="200"/>
        <w:jc w:val="left"/>
        <w:rPr>
          <w:szCs w:val="21"/>
        </w:rPr>
      </w:pPr>
      <w:r>
        <w:rPr>
          <w:szCs w:val="21"/>
        </w:rPr>
        <w:t>14.1.4 竣工结算总价（合同价格）应当按以下内容梳理：</w:t>
      </w:r>
    </w:p>
    <w:p w14:paraId="52C422F7">
      <w:pPr>
        <w:spacing w:line="360" w:lineRule="auto"/>
        <w:ind w:firstLine="420" w:firstLineChars="200"/>
        <w:jc w:val="left"/>
        <w:rPr>
          <w:szCs w:val="21"/>
        </w:rPr>
      </w:pPr>
      <w:r>
        <w:rPr>
          <w:szCs w:val="21"/>
        </w:rPr>
        <w:t>（1）签约合同价；</w:t>
      </w:r>
    </w:p>
    <w:p w14:paraId="72A16386">
      <w:pPr>
        <w:spacing w:line="360" w:lineRule="auto"/>
        <w:ind w:firstLine="420" w:firstLineChars="200"/>
        <w:jc w:val="left"/>
        <w:rPr>
          <w:szCs w:val="21"/>
        </w:rPr>
      </w:pPr>
      <w:r>
        <w:rPr>
          <w:szCs w:val="21"/>
        </w:rPr>
        <w:t>（2）应当扣减的项目；</w:t>
      </w:r>
    </w:p>
    <w:p w14:paraId="5C388DFD">
      <w:pPr>
        <w:spacing w:line="360" w:lineRule="auto"/>
        <w:ind w:firstLine="420" w:firstLineChars="200"/>
        <w:jc w:val="left"/>
        <w:rPr>
          <w:szCs w:val="21"/>
        </w:rPr>
      </w:pPr>
      <w:r>
        <w:rPr>
          <w:szCs w:val="21"/>
        </w:rPr>
        <w:t>1）所有暂列金额；</w:t>
      </w:r>
    </w:p>
    <w:p w14:paraId="59D9379F">
      <w:pPr>
        <w:spacing w:line="360" w:lineRule="auto"/>
        <w:ind w:firstLine="420" w:firstLineChars="200"/>
        <w:jc w:val="left"/>
        <w:rPr>
          <w:szCs w:val="21"/>
        </w:rPr>
      </w:pPr>
      <w:r>
        <w:rPr>
          <w:szCs w:val="21"/>
        </w:rPr>
        <w:t>2）所有暂估价；</w:t>
      </w:r>
    </w:p>
    <w:p w14:paraId="25A1B1A8">
      <w:pPr>
        <w:spacing w:line="360" w:lineRule="auto"/>
        <w:ind w:firstLine="420" w:firstLineChars="200"/>
        <w:jc w:val="left"/>
        <w:rPr>
          <w:szCs w:val="21"/>
        </w:rPr>
      </w:pPr>
      <w:r>
        <w:rPr>
          <w:szCs w:val="21"/>
        </w:rPr>
        <w:t>3）根据合同条款应扣减的变更金额；</w:t>
      </w:r>
    </w:p>
    <w:p w14:paraId="18C65BC1">
      <w:pPr>
        <w:spacing w:line="360" w:lineRule="auto"/>
        <w:ind w:firstLine="420" w:firstLineChars="200"/>
        <w:jc w:val="left"/>
        <w:rPr>
          <w:szCs w:val="21"/>
        </w:rPr>
      </w:pPr>
      <w:r>
        <w:rPr>
          <w:szCs w:val="21"/>
        </w:rPr>
        <w:t>4）根据合同条款应扣减的价格调整（下调部分）；</w:t>
      </w:r>
    </w:p>
    <w:p w14:paraId="2810A399">
      <w:pPr>
        <w:spacing w:line="360" w:lineRule="auto"/>
        <w:ind w:firstLine="420" w:firstLineChars="200"/>
        <w:jc w:val="left"/>
        <w:rPr>
          <w:szCs w:val="21"/>
        </w:rPr>
      </w:pPr>
      <w:r>
        <w:rPr>
          <w:szCs w:val="21"/>
        </w:rPr>
        <w:t>5）根据合同条款应扣减的发包人索赔金额；</w:t>
      </w:r>
    </w:p>
    <w:p w14:paraId="360DAE84">
      <w:pPr>
        <w:spacing w:line="360" w:lineRule="auto"/>
        <w:ind w:firstLine="420" w:firstLineChars="200"/>
        <w:jc w:val="left"/>
        <w:rPr>
          <w:szCs w:val="21"/>
        </w:rPr>
      </w:pPr>
      <w:r>
        <w:rPr>
          <w:szCs w:val="21"/>
        </w:rPr>
        <w:t>6）甩项工程的合同价值（如果有）；</w:t>
      </w:r>
    </w:p>
    <w:p w14:paraId="4F777E39">
      <w:pPr>
        <w:spacing w:line="360" w:lineRule="auto"/>
        <w:ind w:firstLine="420" w:firstLineChars="200"/>
        <w:jc w:val="left"/>
        <w:rPr>
          <w:szCs w:val="21"/>
        </w:rPr>
      </w:pPr>
      <w:r>
        <w:rPr>
          <w:szCs w:val="21"/>
        </w:rPr>
        <w:t>7）根据合同约定发包人应扣减的其他金额。</w:t>
      </w:r>
    </w:p>
    <w:p w14:paraId="57956519">
      <w:pPr>
        <w:spacing w:line="360" w:lineRule="auto"/>
        <w:ind w:firstLine="420" w:firstLineChars="200"/>
        <w:jc w:val="left"/>
        <w:rPr>
          <w:szCs w:val="21"/>
        </w:rPr>
      </w:pPr>
      <w:r>
        <w:rPr>
          <w:szCs w:val="21"/>
        </w:rPr>
        <w:t>（3）应当增加的项目；</w:t>
      </w:r>
    </w:p>
    <w:p w14:paraId="4DCD8960">
      <w:pPr>
        <w:spacing w:line="360" w:lineRule="auto"/>
        <w:ind w:firstLine="420" w:firstLineChars="200"/>
        <w:jc w:val="left"/>
        <w:rPr>
          <w:szCs w:val="21"/>
        </w:rPr>
      </w:pPr>
      <w:r>
        <w:rPr>
          <w:szCs w:val="21"/>
        </w:rPr>
        <w:t>1）实际发生的暂列金额（包括计日工）；</w:t>
      </w:r>
    </w:p>
    <w:p w14:paraId="2FE9A901">
      <w:pPr>
        <w:spacing w:line="360" w:lineRule="auto"/>
        <w:ind w:firstLine="420" w:firstLineChars="200"/>
        <w:jc w:val="left"/>
        <w:rPr>
          <w:szCs w:val="21"/>
        </w:rPr>
      </w:pPr>
      <w:r>
        <w:rPr>
          <w:szCs w:val="21"/>
        </w:rPr>
        <w:t>2）实际发生的暂估价；</w:t>
      </w:r>
    </w:p>
    <w:p w14:paraId="0B8482CA">
      <w:pPr>
        <w:spacing w:line="360" w:lineRule="auto"/>
        <w:ind w:firstLine="420" w:firstLineChars="200"/>
        <w:jc w:val="left"/>
        <w:rPr>
          <w:szCs w:val="21"/>
        </w:rPr>
      </w:pPr>
      <w:r>
        <w:rPr>
          <w:szCs w:val="21"/>
        </w:rPr>
        <w:t>3）根据合同条款应增加的变更金额；</w:t>
      </w:r>
    </w:p>
    <w:p w14:paraId="3879DE61">
      <w:pPr>
        <w:spacing w:line="360" w:lineRule="auto"/>
        <w:ind w:firstLine="420" w:firstLineChars="200"/>
        <w:jc w:val="left"/>
        <w:rPr>
          <w:szCs w:val="21"/>
        </w:rPr>
      </w:pPr>
      <w:r>
        <w:rPr>
          <w:szCs w:val="21"/>
        </w:rPr>
        <w:t>4）根据合同条款应增加的价格调整（上调部分）；</w:t>
      </w:r>
    </w:p>
    <w:p w14:paraId="3A3FD7B5">
      <w:pPr>
        <w:spacing w:line="360" w:lineRule="auto"/>
        <w:ind w:firstLine="420" w:firstLineChars="200"/>
        <w:jc w:val="left"/>
        <w:rPr>
          <w:szCs w:val="21"/>
        </w:rPr>
      </w:pPr>
      <w:r>
        <w:rPr>
          <w:szCs w:val="21"/>
        </w:rPr>
        <w:t>5）根据合同条款应增加的承包人索赔金额；</w:t>
      </w:r>
    </w:p>
    <w:p w14:paraId="7127B400">
      <w:pPr>
        <w:spacing w:line="360" w:lineRule="auto"/>
        <w:ind w:firstLine="420" w:firstLineChars="200"/>
        <w:jc w:val="left"/>
        <w:rPr>
          <w:szCs w:val="21"/>
        </w:rPr>
      </w:pPr>
      <w:r>
        <w:rPr>
          <w:szCs w:val="21"/>
        </w:rPr>
        <w:t>6）根据合同约定承包人应当得到的其他金额。</w:t>
      </w:r>
    </w:p>
    <w:p w14:paraId="642C0F04">
      <w:pPr>
        <w:spacing w:line="360" w:lineRule="auto"/>
        <w:ind w:firstLine="420" w:firstLineChars="200"/>
        <w:jc w:val="left"/>
        <w:rPr>
          <w:szCs w:val="21"/>
        </w:rPr>
      </w:pPr>
      <w:r>
        <w:rPr>
          <w:szCs w:val="21"/>
        </w:rPr>
        <w:t>（4）规费和税金差额部分。</w:t>
      </w:r>
    </w:p>
    <w:p w14:paraId="7A509B61">
      <w:pPr>
        <w:spacing w:line="360" w:lineRule="auto"/>
        <w:ind w:firstLine="420" w:firstLineChars="200"/>
        <w:jc w:val="left"/>
        <w:rPr>
          <w:szCs w:val="21"/>
        </w:rPr>
      </w:pPr>
      <w:r>
        <w:rPr>
          <w:szCs w:val="21"/>
        </w:rPr>
        <w:t>14.1.5 最终结清申请单的应付金额应当按下列内容梳理：</w:t>
      </w:r>
    </w:p>
    <w:p w14:paraId="2A073159">
      <w:pPr>
        <w:spacing w:line="360" w:lineRule="auto"/>
        <w:ind w:firstLine="420" w:firstLineChars="200"/>
        <w:jc w:val="left"/>
        <w:rPr>
          <w:szCs w:val="21"/>
        </w:rPr>
      </w:pPr>
      <w:r>
        <w:rPr>
          <w:szCs w:val="21"/>
        </w:rPr>
        <w:t>（1）按合同约定扣留的质量保证金；</w:t>
      </w:r>
    </w:p>
    <w:p w14:paraId="7AD7C0D4">
      <w:pPr>
        <w:spacing w:line="360" w:lineRule="auto"/>
        <w:ind w:firstLine="420" w:firstLineChars="200"/>
        <w:jc w:val="left"/>
        <w:rPr>
          <w:szCs w:val="21"/>
        </w:rPr>
      </w:pPr>
      <w:r>
        <w:rPr>
          <w:szCs w:val="21"/>
        </w:rPr>
        <w:t>（2）应当扣除的金额：</w:t>
      </w:r>
    </w:p>
    <w:p w14:paraId="6461733F">
      <w:pPr>
        <w:spacing w:line="360" w:lineRule="auto"/>
        <w:ind w:firstLine="420" w:firstLineChars="200"/>
        <w:jc w:val="left"/>
        <w:rPr>
          <w:szCs w:val="21"/>
        </w:rPr>
      </w:pPr>
      <w:r>
        <w:rPr>
          <w:szCs w:val="21"/>
        </w:rPr>
        <w:t>1）按合同条款约定扣留的质量保证金；</w:t>
      </w:r>
    </w:p>
    <w:p w14:paraId="69C4055E">
      <w:pPr>
        <w:spacing w:line="360" w:lineRule="auto"/>
        <w:ind w:firstLine="420" w:firstLineChars="200"/>
        <w:jc w:val="left"/>
        <w:rPr>
          <w:szCs w:val="21"/>
        </w:rPr>
      </w:pPr>
      <w:r>
        <w:rPr>
          <w:szCs w:val="21"/>
        </w:rPr>
        <w:t>2）按合同条款约定扣除的质量保证金；</w:t>
      </w:r>
    </w:p>
    <w:p w14:paraId="7C6F664C">
      <w:pPr>
        <w:spacing w:line="360" w:lineRule="auto"/>
        <w:ind w:firstLine="420" w:firstLineChars="200"/>
        <w:jc w:val="left"/>
        <w:rPr>
          <w:szCs w:val="21"/>
        </w:rPr>
      </w:pPr>
      <w:r>
        <w:rPr>
          <w:szCs w:val="21"/>
        </w:rPr>
        <w:t>3）根据合同条款应扣减的缺陷责任期内发生的发包人索赔金额；</w:t>
      </w:r>
    </w:p>
    <w:p w14:paraId="719D4B6A">
      <w:pPr>
        <w:spacing w:line="360" w:lineRule="auto"/>
        <w:ind w:firstLine="420" w:firstLineChars="200"/>
        <w:jc w:val="left"/>
        <w:rPr>
          <w:szCs w:val="21"/>
        </w:rPr>
      </w:pPr>
      <w:r>
        <w:rPr>
          <w:szCs w:val="21"/>
        </w:rPr>
        <w:t>4）根据合同约定应扣减的其他金额。</w:t>
      </w:r>
    </w:p>
    <w:p w14:paraId="042571F2">
      <w:pPr>
        <w:spacing w:line="360" w:lineRule="auto"/>
        <w:ind w:firstLine="420" w:firstLineChars="200"/>
        <w:jc w:val="left"/>
        <w:rPr>
          <w:szCs w:val="21"/>
        </w:rPr>
      </w:pPr>
      <w:r>
        <w:rPr>
          <w:szCs w:val="21"/>
        </w:rPr>
        <w:t>（3）应当增加的金额：</w:t>
      </w:r>
    </w:p>
    <w:p w14:paraId="6DCC2AD0">
      <w:pPr>
        <w:spacing w:line="360" w:lineRule="auto"/>
        <w:ind w:firstLine="420" w:firstLineChars="200"/>
        <w:jc w:val="left"/>
        <w:rPr>
          <w:szCs w:val="21"/>
        </w:rPr>
      </w:pPr>
      <w:r>
        <w:rPr>
          <w:szCs w:val="21"/>
        </w:rPr>
        <w:t>1）已完且符合合同约定的甩项工程的价值；</w:t>
      </w:r>
    </w:p>
    <w:p w14:paraId="57909ED2">
      <w:pPr>
        <w:spacing w:line="360" w:lineRule="auto"/>
        <w:ind w:firstLine="420" w:firstLineChars="200"/>
        <w:jc w:val="left"/>
        <w:rPr>
          <w:szCs w:val="21"/>
        </w:rPr>
      </w:pPr>
      <w:r>
        <w:rPr>
          <w:szCs w:val="21"/>
        </w:rPr>
        <w:t>2）按合同条款约定由承包人修复的发包人原因造成的缺陷的价值；</w:t>
      </w:r>
    </w:p>
    <w:p w14:paraId="61B37FC1">
      <w:pPr>
        <w:spacing w:line="400" w:lineRule="exact"/>
        <w:ind w:firstLine="420" w:firstLineChars="200"/>
        <w:jc w:val="left"/>
        <w:rPr>
          <w:szCs w:val="21"/>
        </w:rPr>
      </w:pPr>
      <w:r>
        <w:rPr>
          <w:szCs w:val="21"/>
        </w:rPr>
        <w:t>3）根据合同条款应增加的缺陷责任期内发生的承包人索赔金额；</w:t>
      </w:r>
    </w:p>
    <w:p w14:paraId="03472B40">
      <w:pPr>
        <w:spacing w:line="400" w:lineRule="exact"/>
        <w:ind w:firstLine="420" w:firstLineChars="200"/>
        <w:jc w:val="left"/>
        <w:rPr>
          <w:szCs w:val="21"/>
        </w:rPr>
      </w:pPr>
      <w:r>
        <w:rPr>
          <w:szCs w:val="21"/>
        </w:rPr>
        <w:t>4）根据合同约定承包人应当得到的其他金额。</w:t>
      </w:r>
    </w:p>
    <w:p w14:paraId="416D9726">
      <w:pPr>
        <w:spacing w:line="400" w:lineRule="exact"/>
        <w:ind w:firstLine="420" w:firstLineChars="200"/>
        <w:jc w:val="left"/>
        <w:rPr>
          <w:szCs w:val="21"/>
        </w:rPr>
      </w:pPr>
      <w:r>
        <w:rPr>
          <w:szCs w:val="21"/>
        </w:rPr>
        <w:t>最终结清应当由发包人和承包人按照“多退少补”的原则办理。</w:t>
      </w:r>
    </w:p>
    <w:p w14:paraId="210BF9E3">
      <w:pPr>
        <w:spacing w:line="400" w:lineRule="exact"/>
        <w:ind w:firstLine="420" w:firstLineChars="200"/>
        <w:jc w:val="left"/>
        <w:rPr>
          <w:szCs w:val="21"/>
        </w:rPr>
      </w:pPr>
      <w:r>
        <w:rPr>
          <w:szCs w:val="21"/>
        </w:rPr>
        <w:t>14.1.6 竣工付款申请单和最终结清申请单应当比照进度付款申请单的格式准备，并提供相关证明材料。</w:t>
      </w:r>
    </w:p>
    <w:p w14:paraId="43F0F366">
      <w:pPr>
        <w:pStyle w:val="6"/>
        <w:spacing w:line="400" w:lineRule="exact"/>
        <w:rPr>
          <w:rFonts w:ascii="Times New Roman" w:hAnsi="Times New Roman" w:eastAsia="黑体"/>
          <w:b w:val="0"/>
          <w:bCs w:val="0"/>
          <w:sz w:val="24"/>
        </w:rPr>
      </w:pPr>
      <w:bookmarkStart w:id="684" w:name="_Toc300678550"/>
      <w:r>
        <w:rPr>
          <w:rFonts w:ascii="Times New Roman" w:hAnsi="Times New Roman" w:eastAsia="黑体"/>
          <w:b w:val="0"/>
          <w:bCs w:val="0"/>
          <w:sz w:val="24"/>
        </w:rPr>
        <w:t>14.2 其他约定</w:t>
      </w:r>
      <w:bookmarkEnd w:id="684"/>
    </w:p>
    <w:p w14:paraId="7358B51A">
      <w:pPr>
        <w:spacing w:line="400" w:lineRule="exact"/>
        <w:ind w:firstLine="420" w:firstLineChars="200"/>
        <w:jc w:val="left"/>
        <w:rPr>
          <w:szCs w:val="21"/>
        </w:rPr>
      </w:pPr>
      <w:r>
        <w:rPr>
          <w:szCs w:val="21"/>
        </w:rPr>
        <w:t>其他约定内容：</w:t>
      </w:r>
      <w:r>
        <w:rPr>
          <w:szCs w:val="21"/>
          <w:u w:val="single"/>
        </w:rPr>
        <w:t xml:space="preserve">     </w:t>
      </w:r>
      <w:r>
        <w:rPr>
          <w:szCs w:val="21"/>
        </w:rPr>
        <w:t>。</w:t>
      </w:r>
    </w:p>
    <w:p w14:paraId="75666D26">
      <w:pPr>
        <w:pStyle w:val="5"/>
        <w:keepNext/>
        <w:keepLines/>
        <w:widowControl w:val="0"/>
        <w:spacing w:line="400" w:lineRule="exact"/>
        <w:jc w:val="left"/>
        <w:rPr>
          <w:rFonts w:eastAsia="黑体"/>
          <w:b w:val="0"/>
          <w:bCs w:val="0"/>
          <w:sz w:val="28"/>
          <w:szCs w:val="28"/>
        </w:rPr>
      </w:pPr>
      <w:bookmarkStart w:id="685" w:name="_Toc80006249"/>
      <w:bookmarkStart w:id="686" w:name="_Toc300678551"/>
      <w:bookmarkStart w:id="687" w:name="_Toc79998425"/>
      <w:bookmarkStart w:id="688" w:name="_Toc80006139"/>
      <w:bookmarkStart w:id="689" w:name="_Toc79998869"/>
      <w:bookmarkStart w:id="690" w:name="_Toc9178566"/>
      <w:r>
        <w:rPr>
          <w:rFonts w:eastAsia="黑体"/>
          <w:b w:val="0"/>
          <w:bCs w:val="0"/>
          <w:sz w:val="28"/>
          <w:szCs w:val="28"/>
        </w:rPr>
        <w:t>15.竣工验收和工程移交</w:t>
      </w:r>
      <w:bookmarkEnd w:id="685"/>
      <w:bookmarkEnd w:id="686"/>
      <w:bookmarkEnd w:id="687"/>
      <w:bookmarkEnd w:id="688"/>
      <w:bookmarkEnd w:id="689"/>
      <w:bookmarkEnd w:id="690"/>
    </w:p>
    <w:p w14:paraId="6604939F">
      <w:pPr>
        <w:pStyle w:val="6"/>
        <w:spacing w:line="400" w:lineRule="exact"/>
        <w:rPr>
          <w:rFonts w:ascii="Times New Roman" w:hAnsi="Times New Roman" w:eastAsia="黑体"/>
          <w:b w:val="0"/>
          <w:bCs w:val="0"/>
          <w:sz w:val="24"/>
        </w:rPr>
      </w:pPr>
      <w:bookmarkStart w:id="691" w:name="_Toc300678552"/>
      <w:r>
        <w:rPr>
          <w:rFonts w:ascii="Times New Roman" w:hAnsi="Times New Roman" w:eastAsia="黑体"/>
          <w:b w:val="0"/>
          <w:bCs w:val="0"/>
          <w:sz w:val="24"/>
        </w:rPr>
        <w:t>15.1 竣工验收前的清理</w:t>
      </w:r>
      <w:bookmarkEnd w:id="691"/>
    </w:p>
    <w:p w14:paraId="3BB6627B">
      <w:pPr>
        <w:spacing w:line="400" w:lineRule="exact"/>
        <w:ind w:firstLine="420" w:firstLineChars="200"/>
        <w:jc w:val="left"/>
        <w:rPr>
          <w:szCs w:val="21"/>
        </w:rPr>
      </w:pPr>
      <w:r>
        <w:rPr>
          <w:szCs w:val="21"/>
        </w:rPr>
        <w:t>15.1.1 在向监理人提交竣工验收申请报告前，承包人应当完成竣工验收前的清理工作，包括但不限于：</w:t>
      </w:r>
    </w:p>
    <w:p w14:paraId="2124FC91">
      <w:pPr>
        <w:spacing w:line="400" w:lineRule="exact"/>
        <w:ind w:firstLine="420" w:firstLineChars="200"/>
        <w:jc w:val="left"/>
        <w:rPr>
          <w:szCs w:val="21"/>
        </w:rPr>
      </w:pPr>
      <w:r>
        <w:rPr>
          <w:szCs w:val="21"/>
        </w:rPr>
        <w:t>（1）从永久工程内清除所有剩余材料、杂物、垃圾等等；</w:t>
      </w:r>
    </w:p>
    <w:p w14:paraId="2363E698">
      <w:pPr>
        <w:spacing w:line="400" w:lineRule="exact"/>
        <w:ind w:firstLine="420" w:firstLineChars="200"/>
        <w:jc w:val="left"/>
        <w:rPr>
          <w:szCs w:val="21"/>
        </w:rPr>
      </w:pPr>
      <w:r>
        <w:rPr>
          <w:szCs w:val="21"/>
        </w:rPr>
        <w:t>（2）清洗工程的所有地面、墙面、楼面、路面等表面；</w:t>
      </w:r>
    </w:p>
    <w:p w14:paraId="08A8EA3D">
      <w:pPr>
        <w:spacing w:line="400" w:lineRule="exact"/>
        <w:ind w:firstLine="420" w:firstLineChars="200"/>
        <w:jc w:val="left"/>
        <w:rPr>
          <w:szCs w:val="21"/>
        </w:rPr>
      </w:pPr>
      <w:r>
        <w:rPr>
          <w:szCs w:val="21"/>
        </w:rPr>
        <w:t>（3）清洗和擦洗所有玻璃、磁砖、石材和所有金属面；</w:t>
      </w:r>
    </w:p>
    <w:p w14:paraId="783F8A05">
      <w:pPr>
        <w:spacing w:line="400" w:lineRule="exact"/>
        <w:ind w:firstLine="420" w:firstLineChars="200"/>
        <w:jc w:val="left"/>
        <w:rPr>
          <w:szCs w:val="21"/>
        </w:rPr>
      </w:pPr>
      <w:r>
        <w:rPr>
          <w:szCs w:val="21"/>
        </w:rPr>
        <w:t>（4）修缮所有损坏、清除所有污迹、替换所有需更换的材料；</w:t>
      </w:r>
    </w:p>
    <w:p w14:paraId="40EBB7B5">
      <w:pPr>
        <w:spacing w:line="400" w:lineRule="exact"/>
        <w:ind w:firstLine="420" w:firstLineChars="200"/>
        <w:jc w:val="left"/>
        <w:rPr>
          <w:szCs w:val="21"/>
        </w:rPr>
      </w:pPr>
      <w:r>
        <w:rPr>
          <w:szCs w:val="21"/>
        </w:rPr>
        <w:t>（5）所有表面完成约定的装修和装饰；</w:t>
      </w:r>
    </w:p>
    <w:p w14:paraId="48C67A7D">
      <w:pPr>
        <w:spacing w:line="400" w:lineRule="exact"/>
        <w:ind w:firstLine="420" w:firstLineChars="200"/>
        <w:jc w:val="left"/>
        <w:rPr>
          <w:szCs w:val="21"/>
        </w:rPr>
      </w:pPr>
      <w:r>
        <w:rPr>
          <w:szCs w:val="21"/>
        </w:rPr>
        <w:t>（6）检查和调试所有的门、窗、抽屉等以确保他们开启的顺畅；</w:t>
      </w:r>
    </w:p>
    <w:p w14:paraId="36EBEC98">
      <w:pPr>
        <w:spacing w:line="400" w:lineRule="exact"/>
        <w:ind w:firstLine="420" w:firstLineChars="200"/>
        <w:jc w:val="left"/>
        <w:rPr>
          <w:szCs w:val="21"/>
        </w:rPr>
      </w:pPr>
      <w:r>
        <w:rPr>
          <w:szCs w:val="21"/>
        </w:rPr>
        <w:t>（7）检查和调试所有的五金件并上油；</w:t>
      </w:r>
    </w:p>
    <w:p w14:paraId="13D5C83E">
      <w:pPr>
        <w:spacing w:line="400" w:lineRule="exact"/>
        <w:ind w:firstLine="420" w:firstLineChars="200"/>
        <w:jc w:val="left"/>
        <w:rPr>
          <w:szCs w:val="21"/>
        </w:rPr>
      </w:pPr>
      <w:r>
        <w:rPr>
          <w:szCs w:val="21"/>
        </w:rPr>
        <w:t>（8）检查、测试和确保所有服务系统、设施和设备达到良好的运行状态和效果；</w:t>
      </w:r>
    </w:p>
    <w:p w14:paraId="7F265289">
      <w:pPr>
        <w:spacing w:line="400" w:lineRule="exact"/>
        <w:ind w:firstLine="420" w:firstLineChars="200"/>
        <w:jc w:val="left"/>
        <w:rPr>
          <w:szCs w:val="21"/>
        </w:rPr>
      </w:pPr>
      <w:r>
        <w:rPr>
          <w:szCs w:val="21"/>
        </w:rPr>
        <w:t>（9）所有钥匙（如果有）贴上标签并固定到钥匙排上随时可以交给监理人。</w:t>
      </w:r>
    </w:p>
    <w:p w14:paraId="7CDC8641">
      <w:pPr>
        <w:spacing w:line="400" w:lineRule="exact"/>
        <w:ind w:firstLine="420" w:firstLineChars="200"/>
        <w:jc w:val="left"/>
        <w:rPr>
          <w:szCs w:val="21"/>
        </w:rPr>
      </w:pPr>
      <w:r>
        <w:rPr>
          <w:szCs w:val="21"/>
        </w:rPr>
        <w:t>15.1.2 清理工作所需费用由承包人承担。</w:t>
      </w:r>
    </w:p>
    <w:p w14:paraId="13247A07">
      <w:pPr>
        <w:pStyle w:val="6"/>
        <w:spacing w:line="400" w:lineRule="exact"/>
        <w:rPr>
          <w:rFonts w:ascii="Times New Roman" w:hAnsi="Times New Roman" w:eastAsia="黑体"/>
          <w:b w:val="0"/>
          <w:bCs w:val="0"/>
          <w:sz w:val="24"/>
        </w:rPr>
      </w:pPr>
      <w:bookmarkStart w:id="692" w:name="_Toc300678553"/>
      <w:r>
        <w:rPr>
          <w:rFonts w:ascii="Times New Roman" w:hAnsi="Times New Roman" w:eastAsia="黑体"/>
          <w:b w:val="0"/>
          <w:bCs w:val="0"/>
          <w:sz w:val="24"/>
        </w:rPr>
        <w:t>15.2 竣工验收申请报告</w:t>
      </w:r>
      <w:bookmarkEnd w:id="692"/>
    </w:p>
    <w:p w14:paraId="64A19D9C">
      <w:pPr>
        <w:spacing w:line="400" w:lineRule="exact"/>
        <w:ind w:firstLine="420" w:firstLineChars="200"/>
        <w:jc w:val="left"/>
        <w:rPr>
          <w:szCs w:val="21"/>
        </w:rPr>
      </w:pPr>
      <w:r>
        <w:rPr>
          <w:szCs w:val="21"/>
        </w:rPr>
        <w:t>15.2.1 竣工验收申请报告，也称竣工验收报告，是承包人完成合同约定的工作内容后，按照国家有关施工质量验收标准的规定，经其自行检查，证明已经完成合同工作内容并符合合同约定，达到竣工验收标准，而向监理人或发包人提交的请求发包人组织进行合同工程竣工验收的一份书面申请函，合同约定的竣工验收资料和其他文件一般作为竣工验收申请报告的附件，是竣工验收申请报告的组成部分。</w:t>
      </w:r>
    </w:p>
    <w:p w14:paraId="0130BADA">
      <w:pPr>
        <w:spacing w:line="400" w:lineRule="exact"/>
        <w:ind w:firstLine="420" w:firstLineChars="200"/>
        <w:jc w:val="left"/>
        <w:rPr>
          <w:szCs w:val="21"/>
        </w:rPr>
      </w:pPr>
      <w:r>
        <w:rPr>
          <w:szCs w:val="21"/>
        </w:rPr>
        <w:t>15.2.2 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监理人的审批。</w:t>
      </w:r>
    </w:p>
    <w:p w14:paraId="6937B3AA">
      <w:pPr>
        <w:spacing w:line="400" w:lineRule="exact"/>
        <w:ind w:firstLine="420" w:firstLineChars="200"/>
        <w:jc w:val="left"/>
        <w:rPr>
          <w:szCs w:val="21"/>
        </w:rPr>
      </w:pPr>
      <w:r>
        <w:rPr>
          <w:szCs w:val="21"/>
        </w:rPr>
        <w:t>15.2.3 竣工验收申请报告应当按合同条款附上下列内容：</w:t>
      </w:r>
    </w:p>
    <w:p w14:paraId="2905862C">
      <w:pPr>
        <w:spacing w:line="400" w:lineRule="exact"/>
        <w:ind w:firstLine="460" w:firstLineChars="200"/>
        <w:jc w:val="left"/>
        <w:rPr>
          <w:spacing w:val="10"/>
          <w:szCs w:val="21"/>
        </w:rPr>
      </w:pPr>
      <w:r>
        <w:rPr>
          <w:spacing w:val="10"/>
          <w:szCs w:val="21"/>
        </w:rPr>
        <w:t>（1）承包人的自行检查和评定记录文件，即除监理人同意列入缺陷责任期内完成的尾 工（甩项）工程和缺陷修补工作外，合同范围内的全部单位工程以及有关工作，包 括合同要求的试验、试运行以及检验和验收均已完成，并符合合同要求；</w:t>
      </w:r>
    </w:p>
    <w:p w14:paraId="21A8B98D">
      <w:pPr>
        <w:spacing w:line="400" w:lineRule="exact"/>
        <w:ind w:firstLine="420" w:firstLineChars="200"/>
        <w:jc w:val="left"/>
        <w:rPr>
          <w:szCs w:val="21"/>
        </w:rPr>
      </w:pPr>
      <w:r>
        <w:rPr>
          <w:szCs w:val="21"/>
        </w:rPr>
        <w:t>（2）按合同条款约定的内容和份数整理的符合要求的竣工资料；</w:t>
      </w:r>
    </w:p>
    <w:p w14:paraId="035ADA41">
      <w:pPr>
        <w:spacing w:line="400" w:lineRule="exact"/>
        <w:ind w:firstLine="420" w:firstLineChars="200"/>
        <w:jc w:val="left"/>
        <w:rPr>
          <w:szCs w:val="21"/>
        </w:rPr>
      </w:pPr>
      <w:r>
        <w:rPr>
          <w:szCs w:val="21"/>
        </w:rPr>
        <w:t>（3）按监理人的要求编制了在缺陷责任期内完成的尾工（甩项）工程和缺陷修补工作清单以及相应施工计划；</w:t>
      </w:r>
    </w:p>
    <w:p w14:paraId="1F88E5F9">
      <w:pPr>
        <w:spacing w:line="400" w:lineRule="exact"/>
        <w:ind w:firstLine="420" w:firstLineChars="200"/>
        <w:jc w:val="left"/>
        <w:rPr>
          <w:szCs w:val="21"/>
        </w:rPr>
      </w:pPr>
      <w:r>
        <w:rPr>
          <w:szCs w:val="21"/>
        </w:rPr>
        <w:t>（4）监理人要求在竣工验收前应完成的其他工作的证明材料；</w:t>
      </w:r>
    </w:p>
    <w:p w14:paraId="01B9A537">
      <w:pPr>
        <w:spacing w:line="400" w:lineRule="exact"/>
        <w:ind w:firstLine="420" w:firstLineChars="200"/>
        <w:jc w:val="left"/>
        <w:rPr>
          <w:szCs w:val="21"/>
        </w:rPr>
      </w:pPr>
      <w:r>
        <w:rPr>
          <w:szCs w:val="21"/>
        </w:rPr>
        <w:t>（5）监理人要求提交的竣工验收资料清单；</w:t>
      </w:r>
    </w:p>
    <w:p w14:paraId="543D12F1">
      <w:pPr>
        <w:spacing w:line="400" w:lineRule="exact"/>
        <w:ind w:firstLine="420" w:firstLineChars="200"/>
        <w:jc w:val="left"/>
        <w:rPr>
          <w:szCs w:val="21"/>
        </w:rPr>
      </w:pPr>
      <w:r>
        <w:rPr>
          <w:szCs w:val="21"/>
        </w:rPr>
        <w:t>（6）合同条款约定的单位工程竣工验收成果和结论文件（如果有）；</w:t>
      </w:r>
    </w:p>
    <w:p w14:paraId="04DBB036">
      <w:pPr>
        <w:spacing w:line="400" w:lineRule="exact"/>
        <w:ind w:firstLine="420" w:firstLineChars="200"/>
        <w:jc w:val="left"/>
        <w:rPr>
          <w:szCs w:val="21"/>
        </w:rPr>
      </w:pPr>
      <w:r>
        <w:rPr>
          <w:szCs w:val="21"/>
        </w:rPr>
        <w:t>（7）合同附件约定的质量保修书（此前已经提交的不再提交）；</w:t>
      </w:r>
    </w:p>
    <w:p w14:paraId="46FAB1D4">
      <w:pPr>
        <w:spacing w:line="400" w:lineRule="exact"/>
        <w:ind w:firstLine="420" w:firstLineChars="200"/>
        <w:jc w:val="left"/>
        <w:rPr>
          <w:szCs w:val="21"/>
        </w:rPr>
      </w:pPr>
      <w:r>
        <w:rPr>
          <w:szCs w:val="21"/>
        </w:rPr>
        <w:t>（8）其他：</w:t>
      </w:r>
      <w:r>
        <w:rPr>
          <w:szCs w:val="21"/>
          <w:u w:val="single"/>
        </w:rPr>
        <w:t xml:space="preserve">              </w:t>
      </w:r>
      <w:r>
        <w:rPr>
          <w:szCs w:val="21"/>
        </w:rPr>
        <w:t>。</w:t>
      </w:r>
    </w:p>
    <w:p w14:paraId="67760EEB">
      <w:pPr>
        <w:pStyle w:val="6"/>
        <w:spacing w:line="400" w:lineRule="exact"/>
        <w:rPr>
          <w:rFonts w:ascii="Times New Roman" w:hAnsi="Times New Roman" w:eastAsia="黑体"/>
          <w:b w:val="0"/>
          <w:bCs w:val="0"/>
          <w:sz w:val="24"/>
        </w:rPr>
      </w:pPr>
      <w:bookmarkStart w:id="693" w:name="_Toc300678554"/>
      <w:r>
        <w:rPr>
          <w:rFonts w:ascii="Times New Roman" w:hAnsi="Times New Roman" w:eastAsia="黑体"/>
          <w:b w:val="0"/>
          <w:bCs w:val="0"/>
          <w:sz w:val="24"/>
        </w:rPr>
        <w:t>15.3 竣工清场</w:t>
      </w:r>
      <w:bookmarkEnd w:id="693"/>
    </w:p>
    <w:p w14:paraId="3405438E">
      <w:pPr>
        <w:spacing w:line="400" w:lineRule="exact"/>
        <w:ind w:firstLine="420" w:firstLineChars="200"/>
        <w:jc w:val="left"/>
        <w:rPr>
          <w:szCs w:val="21"/>
        </w:rPr>
      </w:pPr>
      <w:r>
        <w:rPr>
          <w:szCs w:val="21"/>
        </w:rPr>
        <w:t>15.3.1 监理人颁发（出具）工程接收证书后，承包人应在56天内按以下要求对施工场地（现场）进行清理：</w:t>
      </w:r>
    </w:p>
    <w:p w14:paraId="2E1CDCA2">
      <w:pPr>
        <w:spacing w:line="400" w:lineRule="exact"/>
        <w:ind w:firstLine="420" w:firstLineChars="200"/>
        <w:jc w:val="left"/>
        <w:rPr>
          <w:szCs w:val="21"/>
        </w:rPr>
      </w:pPr>
      <w:r>
        <w:rPr>
          <w:szCs w:val="21"/>
        </w:rPr>
        <w:t>（1）从施工场地（现场）清除所有杂物和垃圾等等；</w:t>
      </w:r>
    </w:p>
    <w:p w14:paraId="01BD0370">
      <w:pPr>
        <w:spacing w:line="400" w:lineRule="exact"/>
        <w:ind w:firstLine="420" w:firstLineChars="200"/>
        <w:jc w:val="left"/>
        <w:rPr>
          <w:szCs w:val="21"/>
        </w:rPr>
      </w:pPr>
      <w:r>
        <w:rPr>
          <w:szCs w:val="21"/>
        </w:rPr>
        <w:t>（2）从施工场地现场拆除所有的临时工程和临时设施并恢复地面原状，但经监理人批准的护坡桩、锚杆、塔吊基础和无法拆除的埋入式模板等无法拆除的临时设施除外；</w:t>
      </w:r>
    </w:p>
    <w:p w14:paraId="673D8455">
      <w:pPr>
        <w:spacing w:line="400" w:lineRule="exact"/>
        <w:ind w:firstLine="420" w:firstLineChars="200"/>
        <w:jc w:val="left"/>
        <w:rPr>
          <w:szCs w:val="21"/>
        </w:rPr>
      </w:pPr>
      <w:r>
        <w:rPr>
          <w:szCs w:val="21"/>
        </w:rPr>
        <w:t>（3）撤离所有承包人施工设备和剩余材料（经监理人同意需在缺陷责任期内继续使用的除外）；</w:t>
      </w:r>
    </w:p>
    <w:p w14:paraId="678534B9">
      <w:pPr>
        <w:spacing w:line="400" w:lineRule="exact"/>
        <w:ind w:firstLine="420" w:firstLineChars="200"/>
        <w:jc w:val="left"/>
        <w:rPr>
          <w:szCs w:val="21"/>
        </w:rPr>
      </w:pPr>
      <w:r>
        <w:rPr>
          <w:szCs w:val="21"/>
        </w:rPr>
        <w:t>（4）监理人指示的其他清场工作。</w:t>
      </w:r>
    </w:p>
    <w:p w14:paraId="7BE1D370">
      <w:pPr>
        <w:pStyle w:val="5"/>
        <w:keepNext/>
        <w:keepLines/>
        <w:widowControl w:val="0"/>
        <w:spacing w:line="400" w:lineRule="exact"/>
        <w:jc w:val="left"/>
        <w:rPr>
          <w:rFonts w:eastAsia="黑体"/>
          <w:b w:val="0"/>
          <w:bCs w:val="0"/>
          <w:sz w:val="28"/>
          <w:szCs w:val="28"/>
        </w:rPr>
      </w:pPr>
      <w:bookmarkStart w:id="694" w:name="_Toc80006140"/>
      <w:bookmarkStart w:id="695" w:name="_Toc79998870"/>
      <w:bookmarkStart w:id="696" w:name="_Toc80006250"/>
      <w:bookmarkStart w:id="697" w:name="_Toc9178567"/>
      <w:bookmarkStart w:id="698" w:name="_Toc79998426"/>
      <w:bookmarkStart w:id="699" w:name="_Toc300678555"/>
      <w:r>
        <w:rPr>
          <w:rFonts w:eastAsia="黑体"/>
          <w:b w:val="0"/>
          <w:bCs w:val="0"/>
          <w:sz w:val="28"/>
          <w:szCs w:val="28"/>
        </w:rPr>
        <w:t>16.</w:t>
      </w:r>
      <w:r>
        <w:rPr>
          <w:rFonts w:hint="eastAsia" w:eastAsia="黑体"/>
          <w:b w:val="0"/>
          <w:bCs w:val="0"/>
          <w:sz w:val="28"/>
          <w:szCs w:val="28"/>
        </w:rPr>
        <w:t>其他</w:t>
      </w:r>
      <w:bookmarkEnd w:id="694"/>
      <w:bookmarkEnd w:id="695"/>
      <w:bookmarkEnd w:id="696"/>
      <w:bookmarkEnd w:id="697"/>
      <w:bookmarkEnd w:id="698"/>
    </w:p>
    <w:bookmarkEnd w:id="699"/>
    <w:p w14:paraId="0C00E82A">
      <w:pPr>
        <w:spacing w:line="360" w:lineRule="auto"/>
        <w:ind w:firstLine="420" w:firstLineChars="200"/>
        <w:jc w:val="left"/>
        <w:rPr>
          <w:szCs w:val="21"/>
        </w:rPr>
      </w:pPr>
      <w:bookmarkStart w:id="700" w:name="_Toc300678556"/>
    </w:p>
    <w:p w14:paraId="1B573131">
      <w:pPr>
        <w:spacing w:line="360" w:lineRule="auto"/>
        <w:ind w:firstLine="420" w:firstLineChars="200"/>
        <w:jc w:val="left"/>
        <w:rPr>
          <w:szCs w:val="21"/>
        </w:rPr>
      </w:pPr>
    </w:p>
    <w:p w14:paraId="22809668">
      <w:pPr>
        <w:pStyle w:val="4"/>
        <w:spacing w:before="0" w:after="0" w:line="360" w:lineRule="auto"/>
        <w:jc w:val="center"/>
        <w:rPr>
          <w:rFonts w:ascii="Times New Roman" w:hAnsi="Times New Roman" w:eastAsia="黑体"/>
          <w:b w:val="0"/>
          <w:bCs w:val="0"/>
          <w:sz w:val="30"/>
        </w:rPr>
      </w:pPr>
      <w:bookmarkStart w:id="701" w:name="_Toc80006141"/>
      <w:bookmarkStart w:id="702" w:name="_Toc80006251"/>
      <w:r>
        <w:rPr>
          <w:rFonts w:ascii="Times New Roman" w:hAnsi="Times New Roman" w:eastAsia="黑体"/>
          <w:b w:val="0"/>
          <w:bCs w:val="0"/>
          <w:sz w:val="30"/>
        </w:rPr>
        <w:t>第二节  特殊技术标准和要求</w:t>
      </w:r>
      <w:bookmarkEnd w:id="700"/>
      <w:bookmarkEnd w:id="701"/>
      <w:bookmarkEnd w:id="702"/>
    </w:p>
    <w:p w14:paraId="0AE0FE44">
      <w:pPr>
        <w:pStyle w:val="5"/>
        <w:keepNext/>
        <w:keepLines/>
        <w:widowControl w:val="0"/>
        <w:jc w:val="left"/>
        <w:rPr>
          <w:rFonts w:eastAsia="黑体"/>
          <w:b w:val="0"/>
          <w:bCs w:val="0"/>
          <w:sz w:val="28"/>
          <w:szCs w:val="28"/>
        </w:rPr>
      </w:pPr>
      <w:bookmarkStart w:id="703" w:name="_Toc80006142"/>
      <w:bookmarkStart w:id="704" w:name="_Toc9178569"/>
      <w:bookmarkStart w:id="705" w:name="_Toc300678557"/>
      <w:bookmarkStart w:id="706" w:name="_Toc80006252"/>
      <w:r>
        <w:rPr>
          <w:rFonts w:eastAsia="黑体"/>
          <w:b w:val="0"/>
          <w:bCs w:val="0"/>
          <w:sz w:val="28"/>
          <w:szCs w:val="28"/>
        </w:rPr>
        <w:t>1.材料和工程设备技术要求</w:t>
      </w:r>
      <w:bookmarkEnd w:id="703"/>
      <w:bookmarkEnd w:id="704"/>
      <w:bookmarkEnd w:id="705"/>
      <w:bookmarkEnd w:id="706"/>
    </w:p>
    <w:p w14:paraId="351C9628">
      <w:pPr>
        <w:spacing w:line="360" w:lineRule="auto"/>
        <w:ind w:firstLine="420" w:firstLineChars="200"/>
        <w:jc w:val="left"/>
        <w:rPr>
          <w:szCs w:val="21"/>
        </w:rPr>
      </w:pPr>
      <w:r>
        <w:rPr>
          <w:szCs w:val="21"/>
        </w:rPr>
        <w:t>1.1 承包人自行施工范围内的部分材料和工程设备技术要求如下：</w:t>
      </w:r>
      <w:r>
        <w:rPr>
          <w:szCs w:val="21"/>
          <w:u w:val="single"/>
        </w:rPr>
        <w:t xml:space="preserve">     </w:t>
      </w:r>
      <w:r>
        <w:rPr>
          <w:szCs w:val="21"/>
        </w:rPr>
        <w:t>。</w:t>
      </w:r>
    </w:p>
    <w:p w14:paraId="7ED2D839">
      <w:pPr>
        <w:spacing w:line="360" w:lineRule="auto"/>
        <w:ind w:firstLine="420" w:firstLineChars="200"/>
        <w:jc w:val="left"/>
        <w:rPr>
          <w:szCs w:val="21"/>
        </w:rPr>
      </w:pPr>
      <w:r>
        <w:rPr>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0D08A2D8">
      <w:pPr>
        <w:spacing w:line="360" w:lineRule="auto"/>
        <w:ind w:firstLine="420" w:firstLineChars="200"/>
        <w:jc w:val="left"/>
        <w:rPr>
          <w:szCs w:val="21"/>
        </w:rPr>
      </w:pPr>
      <w:r>
        <w:rPr>
          <w:szCs w:val="21"/>
        </w:rPr>
        <w:t>1.2 承包人自行施工范围内的材料和工程设备选型允许的偏离如下：</w:t>
      </w:r>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2146"/>
        <w:gridCol w:w="1766"/>
        <w:gridCol w:w="1766"/>
        <w:gridCol w:w="1470"/>
      </w:tblGrid>
      <w:tr w14:paraId="00D1B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275" w:type="dxa"/>
            <w:vAlign w:val="center"/>
          </w:tcPr>
          <w:p w14:paraId="6F5CD6F6">
            <w:pPr>
              <w:jc w:val="center"/>
              <w:rPr>
                <w:rFonts w:ascii="Calibri" w:hAnsi="Calibri" w:cs="Calibri"/>
                <w:sz w:val="18"/>
                <w:szCs w:val="21"/>
              </w:rPr>
            </w:pPr>
            <w:r>
              <w:rPr>
                <w:rFonts w:ascii="Calibri" w:hAnsi="Calibri" w:cs="Calibri"/>
                <w:sz w:val="18"/>
                <w:szCs w:val="21"/>
              </w:rPr>
              <w:t>序号</w:t>
            </w:r>
          </w:p>
        </w:tc>
        <w:tc>
          <w:tcPr>
            <w:tcW w:w="2146" w:type="dxa"/>
            <w:vAlign w:val="center"/>
          </w:tcPr>
          <w:p w14:paraId="63331F71">
            <w:pPr>
              <w:jc w:val="center"/>
              <w:rPr>
                <w:rFonts w:ascii="Calibri" w:hAnsi="Calibri" w:cs="Calibri"/>
                <w:sz w:val="18"/>
                <w:szCs w:val="21"/>
              </w:rPr>
            </w:pPr>
            <w:r>
              <w:rPr>
                <w:rFonts w:ascii="Calibri" w:hAnsi="Calibri" w:cs="Calibri"/>
                <w:sz w:val="18"/>
                <w:szCs w:val="21"/>
              </w:rPr>
              <w:t>材料和工程设备</w:t>
            </w:r>
          </w:p>
          <w:p w14:paraId="3AD77692">
            <w:pPr>
              <w:jc w:val="center"/>
              <w:rPr>
                <w:rFonts w:ascii="Calibri" w:hAnsi="Calibri" w:cs="Calibri"/>
                <w:sz w:val="18"/>
                <w:szCs w:val="21"/>
              </w:rPr>
            </w:pPr>
            <w:r>
              <w:rPr>
                <w:rFonts w:ascii="Calibri" w:hAnsi="Calibri" w:cs="Calibri"/>
                <w:sz w:val="18"/>
                <w:szCs w:val="21"/>
              </w:rPr>
              <w:t>名称</w:t>
            </w:r>
          </w:p>
        </w:tc>
        <w:tc>
          <w:tcPr>
            <w:tcW w:w="1766" w:type="dxa"/>
            <w:vAlign w:val="center"/>
          </w:tcPr>
          <w:p w14:paraId="004F86BA">
            <w:pPr>
              <w:jc w:val="center"/>
              <w:rPr>
                <w:rFonts w:ascii="Calibri" w:hAnsi="Calibri" w:cs="Calibri"/>
                <w:sz w:val="18"/>
                <w:szCs w:val="21"/>
              </w:rPr>
            </w:pPr>
            <w:r>
              <w:rPr>
                <w:rFonts w:ascii="Calibri" w:hAnsi="Calibri" w:cs="Calibri"/>
                <w:sz w:val="18"/>
                <w:szCs w:val="21"/>
              </w:rPr>
              <w:t>技术指标</w:t>
            </w:r>
          </w:p>
        </w:tc>
        <w:tc>
          <w:tcPr>
            <w:tcW w:w="1766" w:type="dxa"/>
            <w:vAlign w:val="center"/>
          </w:tcPr>
          <w:p w14:paraId="655D181D">
            <w:pPr>
              <w:jc w:val="center"/>
              <w:rPr>
                <w:rFonts w:ascii="Calibri" w:hAnsi="Calibri" w:cs="Calibri"/>
                <w:sz w:val="18"/>
                <w:szCs w:val="21"/>
              </w:rPr>
            </w:pPr>
            <w:r>
              <w:rPr>
                <w:rFonts w:ascii="Calibri" w:hAnsi="Calibri" w:cs="Calibri"/>
                <w:sz w:val="18"/>
                <w:szCs w:val="21"/>
              </w:rPr>
              <w:t>允许偏离范围</w:t>
            </w:r>
          </w:p>
        </w:tc>
        <w:tc>
          <w:tcPr>
            <w:tcW w:w="1470" w:type="dxa"/>
            <w:vAlign w:val="center"/>
          </w:tcPr>
          <w:p w14:paraId="011B61B1">
            <w:pPr>
              <w:jc w:val="center"/>
              <w:rPr>
                <w:rFonts w:ascii="Calibri" w:hAnsi="Calibri" w:cs="Calibri"/>
                <w:sz w:val="18"/>
                <w:szCs w:val="21"/>
              </w:rPr>
            </w:pPr>
            <w:r>
              <w:rPr>
                <w:rFonts w:ascii="Calibri" w:hAnsi="Calibri" w:cs="Calibri"/>
                <w:sz w:val="18"/>
                <w:szCs w:val="21"/>
              </w:rPr>
              <w:t>备    注</w:t>
            </w:r>
          </w:p>
        </w:tc>
      </w:tr>
      <w:tr w14:paraId="7DE8C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275" w:type="dxa"/>
            <w:vAlign w:val="center"/>
          </w:tcPr>
          <w:p w14:paraId="6B7BD902">
            <w:pPr>
              <w:spacing w:line="360" w:lineRule="auto"/>
              <w:jc w:val="center"/>
              <w:rPr>
                <w:rFonts w:ascii="Calibri" w:hAnsi="Calibri" w:cs="Calibri"/>
                <w:sz w:val="18"/>
                <w:szCs w:val="21"/>
              </w:rPr>
            </w:pPr>
            <w:r>
              <w:rPr>
                <w:rFonts w:ascii="Calibri" w:hAnsi="Calibri" w:cs="Calibri"/>
                <w:sz w:val="18"/>
                <w:szCs w:val="21"/>
              </w:rPr>
              <w:t>1</w:t>
            </w:r>
          </w:p>
        </w:tc>
        <w:tc>
          <w:tcPr>
            <w:tcW w:w="2146" w:type="dxa"/>
            <w:vAlign w:val="center"/>
          </w:tcPr>
          <w:p w14:paraId="2CCC649D">
            <w:pPr>
              <w:spacing w:line="360" w:lineRule="auto"/>
              <w:jc w:val="center"/>
              <w:rPr>
                <w:rFonts w:ascii="Calibri" w:hAnsi="Calibri" w:cs="Calibri"/>
                <w:sz w:val="18"/>
                <w:szCs w:val="21"/>
              </w:rPr>
            </w:pPr>
          </w:p>
        </w:tc>
        <w:tc>
          <w:tcPr>
            <w:tcW w:w="1766" w:type="dxa"/>
            <w:vAlign w:val="center"/>
          </w:tcPr>
          <w:p w14:paraId="321FA565">
            <w:pPr>
              <w:spacing w:line="360" w:lineRule="auto"/>
              <w:jc w:val="center"/>
              <w:rPr>
                <w:rFonts w:ascii="Calibri" w:hAnsi="Calibri" w:cs="Calibri"/>
                <w:sz w:val="18"/>
                <w:szCs w:val="21"/>
              </w:rPr>
            </w:pPr>
          </w:p>
        </w:tc>
        <w:tc>
          <w:tcPr>
            <w:tcW w:w="1766" w:type="dxa"/>
            <w:vAlign w:val="center"/>
          </w:tcPr>
          <w:p w14:paraId="5689CA01">
            <w:pPr>
              <w:spacing w:line="360" w:lineRule="auto"/>
              <w:jc w:val="center"/>
              <w:rPr>
                <w:rFonts w:ascii="Calibri" w:hAnsi="Calibri" w:cs="Calibri"/>
                <w:sz w:val="18"/>
                <w:szCs w:val="21"/>
              </w:rPr>
            </w:pPr>
          </w:p>
        </w:tc>
        <w:tc>
          <w:tcPr>
            <w:tcW w:w="1470" w:type="dxa"/>
            <w:vAlign w:val="center"/>
          </w:tcPr>
          <w:p w14:paraId="2FE2F19A">
            <w:pPr>
              <w:spacing w:line="360" w:lineRule="auto"/>
              <w:jc w:val="center"/>
              <w:rPr>
                <w:rFonts w:ascii="Calibri" w:hAnsi="Calibri" w:cs="Calibri"/>
                <w:sz w:val="18"/>
                <w:szCs w:val="21"/>
              </w:rPr>
            </w:pPr>
          </w:p>
        </w:tc>
      </w:tr>
      <w:tr w14:paraId="26BA3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275" w:type="dxa"/>
            <w:vAlign w:val="center"/>
          </w:tcPr>
          <w:p w14:paraId="216592A1">
            <w:pPr>
              <w:spacing w:line="360" w:lineRule="auto"/>
              <w:jc w:val="center"/>
              <w:rPr>
                <w:rFonts w:ascii="Calibri" w:hAnsi="Calibri" w:cs="Calibri"/>
                <w:sz w:val="18"/>
                <w:szCs w:val="21"/>
              </w:rPr>
            </w:pPr>
            <w:r>
              <w:rPr>
                <w:rFonts w:ascii="Calibri" w:hAnsi="Calibri" w:cs="Calibri"/>
                <w:sz w:val="18"/>
                <w:szCs w:val="21"/>
              </w:rPr>
              <w:t>2</w:t>
            </w:r>
          </w:p>
        </w:tc>
        <w:tc>
          <w:tcPr>
            <w:tcW w:w="2146" w:type="dxa"/>
            <w:vAlign w:val="center"/>
          </w:tcPr>
          <w:p w14:paraId="23C41D5F">
            <w:pPr>
              <w:spacing w:line="360" w:lineRule="auto"/>
              <w:jc w:val="center"/>
              <w:rPr>
                <w:rFonts w:ascii="Calibri" w:hAnsi="Calibri" w:cs="Calibri"/>
                <w:sz w:val="18"/>
                <w:szCs w:val="21"/>
              </w:rPr>
            </w:pPr>
          </w:p>
        </w:tc>
        <w:tc>
          <w:tcPr>
            <w:tcW w:w="1766" w:type="dxa"/>
            <w:vAlign w:val="center"/>
          </w:tcPr>
          <w:p w14:paraId="79C76C22">
            <w:pPr>
              <w:spacing w:line="360" w:lineRule="auto"/>
              <w:jc w:val="center"/>
              <w:rPr>
                <w:rFonts w:ascii="Calibri" w:hAnsi="Calibri" w:cs="Calibri"/>
                <w:sz w:val="18"/>
                <w:szCs w:val="21"/>
              </w:rPr>
            </w:pPr>
          </w:p>
        </w:tc>
        <w:tc>
          <w:tcPr>
            <w:tcW w:w="1766" w:type="dxa"/>
            <w:vAlign w:val="center"/>
          </w:tcPr>
          <w:p w14:paraId="52B59408">
            <w:pPr>
              <w:spacing w:line="360" w:lineRule="auto"/>
              <w:jc w:val="center"/>
              <w:rPr>
                <w:rFonts w:ascii="Calibri" w:hAnsi="Calibri" w:cs="Calibri"/>
                <w:sz w:val="18"/>
                <w:szCs w:val="21"/>
              </w:rPr>
            </w:pPr>
          </w:p>
        </w:tc>
        <w:tc>
          <w:tcPr>
            <w:tcW w:w="1470" w:type="dxa"/>
            <w:vAlign w:val="center"/>
          </w:tcPr>
          <w:p w14:paraId="36EB4F00">
            <w:pPr>
              <w:spacing w:line="360" w:lineRule="auto"/>
              <w:jc w:val="center"/>
              <w:rPr>
                <w:rFonts w:ascii="Calibri" w:hAnsi="Calibri" w:cs="Calibri"/>
                <w:sz w:val="18"/>
                <w:szCs w:val="21"/>
              </w:rPr>
            </w:pPr>
          </w:p>
        </w:tc>
      </w:tr>
      <w:tr w14:paraId="50F14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275" w:type="dxa"/>
            <w:vAlign w:val="center"/>
          </w:tcPr>
          <w:p w14:paraId="12ABB58A">
            <w:pPr>
              <w:spacing w:line="360" w:lineRule="auto"/>
              <w:jc w:val="center"/>
              <w:rPr>
                <w:rFonts w:ascii="Calibri" w:hAnsi="Calibri" w:cs="Calibri"/>
                <w:sz w:val="18"/>
                <w:szCs w:val="21"/>
              </w:rPr>
            </w:pPr>
            <w:r>
              <w:rPr>
                <w:rFonts w:ascii="Calibri" w:hAnsi="Calibri" w:cs="Calibri"/>
                <w:sz w:val="18"/>
                <w:szCs w:val="21"/>
              </w:rPr>
              <w:t>……</w:t>
            </w:r>
          </w:p>
        </w:tc>
        <w:tc>
          <w:tcPr>
            <w:tcW w:w="2146" w:type="dxa"/>
            <w:vAlign w:val="center"/>
          </w:tcPr>
          <w:p w14:paraId="342229EE">
            <w:pPr>
              <w:spacing w:line="360" w:lineRule="auto"/>
              <w:jc w:val="center"/>
              <w:rPr>
                <w:rFonts w:ascii="Calibri" w:hAnsi="Calibri" w:cs="Calibri"/>
                <w:sz w:val="18"/>
                <w:szCs w:val="21"/>
              </w:rPr>
            </w:pPr>
          </w:p>
        </w:tc>
        <w:tc>
          <w:tcPr>
            <w:tcW w:w="1766" w:type="dxa"/>
            <w:vAlign w:val="center"/>
          </w:tcPr>
          <w:p w14:paraId="3F3E8EEB">
            <w:pPr>
              <w:spacing w:line="360" w:lineRule="auto"/>
              <w:jc w:val="center"/>
              <w:rPr>
                <w:rFonts w:ascii="Calibri" w:hAnsi="Calibri" w:cs="Calibri"/>
                <w:sz w:val="18"/>
                <w:szCs w:val="21"/>
              </w:rPr>
            </w:pPr>
          </w:p>
        </w:tc>
        <w:tc>
          <w:tcPr>
            <w:tcW w:w="1766" w:type="dxa"/>
            <w:vAlign w:val="center"/>
          </w:tcPr>
          <w:p w14:paraId="5DF5FC6A">
            <w:pPr>
              <w:spacing w:line="360" w:lineRule="auto"/>
              <w:jc w:val="center"/>
              <w:rPr>
                <w:rFonts w:ascii="Calibri" w:hAnsi="Calibri" w:cs="Calibri"/>
                <w:sz w:val="18"/>
                <w:szCs w:val="21"/>
              </w:rPr>
            </w:pPr>
          </w:p>
        </w:tc>
        <w:tc>
          <w:tcPr>
            <w:tcW w:w="1470" w:type="dxa"/>
            <w:vAlign w:val="center"/>
          </w:tcPr>
          <w:p w14:paraId="1DBBD150">
            <w:pPr>
              <w:spacing w:line="360" w:lineRule="auto"/>
              <w:jc w:val="center"/>
              <w:rPr>
                <w:rFonts w:ascii="Calibri" w:hAnsi="Calibri" w:cs="Calibri"/>
                <w:sz w:val="18"/>
                <w:szCs w:val="21"/>
              </w:rPr>
            </w:pPr>
          </w:p>
        </w:tc>
      </w:tr>
      <w:tr w14:paraId="6E129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275" w:type="dxa"/>
            <w:vAlign w:val="center"/>
          </w:tcPr>
          <w:p w14:paraId="543DA891">
            <w:pPr>
              <w:spacing w:line="360" w:lineRule="auto"/>
              <w:jc w:val="center"/>
              <w:rPr>
                <w:rFonts w:ascii="Calibri" w:hAnsi="Calibri" w:cs="Calibri"/>
                <w:sz w:val="18"/>
                <w:szCs w:val="21"/>
              </w:rPr>
            </w:pPr>
          </w:p>
        </w:tc>
        <w:tc>
          <w:tcPr>
            <w:tcW w:w="2146" w:type="dxa"/>
            <w:vAlign w:val="center"/>
          </w:tcPr>
          <w:p w14:paraId="2F14F201">
            <w:pPr>
              <w:spacing w:line="360" w:lineRule="auto"/>
              <w:jc w:val="center"/>
              <w:rPr>
                <w:rFonts w:ascii="Calibri" w:hAnsi="Calibri" w:cs="Calibri"/>
                <w:sz w:val="18"/>
                <w:szCs w:val="21"/>
              </w:rPr>
            </w:pPr>
          </w:p>
        </w:tc>
        <w:tc>
          <w:tcPr>
            <w:tcW w:w="1766" w:type="dxa"/>
            <w:vAlign w:val="center"/>
          </w:tcPr>
          <w:p w14:paraId="58D73EBA">
            <w:pPr>
              <w:spacing w:line="360" w:lineRule="auto"/>
              <w:jc w:val="center"/>
              <w:rPr>
                <w:rFonts w:ascii="Calibri" w:hAnsi="Calibri" w:cs="Calibri"/>
                <w:sz w:val="18"/>
                <w:szCs w:val="21"/>
              </w:rPr>
            </w:pPr>
          </w:p>
        </w:tc>
        <w:tc>
          <w:tcPr>
            <w:tcW w:w="1766" w:type="dxa"/>
            <w:vAlign w:val="center"/>
          </w:tcPr>
          <w:p w14:paraId="65AE46BA">
            <w:pPr>
              <w:spacing w:line="360" w:lineRule="auto"/>
              <w:jc w:val="center"/>
              <w:rPr>
                <w:rFonts w:ascii="Calibri" w:hAnsi="Calibri" w:cs="Calibri"/>
                <w:sz w:val="18"/>
                <w:szCs w:val="21"/>
              </w:rPr>
            </w:pPr>
          </w:p>
        </w:tc>
        <w:tc>
          <w:tcPr>
            <w:tcW w:w="1470" w:type="dxa"/>
            <w:vAlign w:val="center"/>
          </w:tcPr>
          <w:p w14:paraId="146FF024">
            <w:pPr>
              <w:spacing w:line="360" w:lineRule="auto"/>
              <w:jc w:val="center"/>
              <w:rPr>
                <w:rFonts w:ascii="Calibri" w:hAnsi="Calibri" w:cs="Calibri"/>
                <w:sz w:val="18"/>
                <w:szCs w:val="21"/>
              </w:rPr>
            </w:pPr>
          </w:p>
        </w:tc>
      </w:tr>
    </w:tbl>
    <w:p w14:paraId="7AA27916">
      <w:pPr>
        <w:spacing w:line="360" w:lineRule="auto"/>
        <w:ind w:firstLine="420" w:firstLineChars="200"/>
        <w:jc w:val="left"/>
        <w:rPr>
          <w:szCs w:val="21"/>
        </w:rPr>
      </w:pPr>
      <w:r>
        <w:rPr>
          <w:szCs w:val="21"/>
        </w:rPr>
        <w:t>1.3 本工程施工现场所用混凝土或砂浆的供应方式为</w:t>
      </w:r>
      <w:r>
        <w:rPr>
          <w:szCs w:val="21"/>
          <w:u w:val="single"/>
        </w:rPr>
        <w:t xml:space="preserve">     </w:t>
      </w:r>
      <w:r>
        <w:rPr>
          <w:szCs w:val="21"/>
        </w:rPr>
        <w:t>。</w:t>
      </w:r>
    </w:p>
    <w:p w14:paraId="73B0C6C8">
      <w:pPr>
        <w:pStyle w:val="5"/>
        <w:keepNext/>
        <w:keepLines/>
        <w:widowControl w:val="0"/>
        <w:jc w:val="left"/>
        <w:rPr>
          <w:rFonts w:eastAsia="黑体"/>
          <w:b w:val="0"/>
          <w:bCs w:val="0"/>
          <w:sz w:val="28"/>
          <w:szCs w:val="28"/>
        </w:rPr>
      </w:pPr>
      <w:bookmarkStart w:id="707" w:name="_Toc9178570"/>
      <w:bookmarkStart w:id="708" w:name="_Toc80006143"/>
      <w:bookmarkStart w:id="709" w:name="_Toc300678558"/>
      <w:bookmarkStart w:id="710" w:name="_Toc80006253"/>
      <w:r>
        <w:rPr>
          <w:rFonts w:eastAsia="黑体"/>
          <w:b w:val="0"/>
          <w:bCs w:val="0"/>
          <w:sz w:val="28"/>
          <w:szCs w:val="28"/>
        </w:rPr>
        <w:t>2.特殊技术要求</w:t>
      </w:r>
      <w:bookmarkEnd w:id="707"/>
      <w:bookmarkEnd w:id="708"/>
      <w:bookmarkEnd w:id="709"/>
      <w:bookmarkEnd w:id="710"/>
    </w:p>
    <w:p w14:paraId="6A065387">
      <w:pPr>
        <w:spacing w:line="360" w:lineRule="auto"/>
        <w:ind w:firstLine="420" w:firstLineChars="200"/>
        <w:jc w:val="left"/>
        <w:rPr>
          <w:szCs w:val="21"/>
        </w:rPr>
      </w:pPr>
      <w:r>
        <w:rPr>
          <w:szCs w:val="21"/>
        </w:rPr>
        <w:t>2.1 除合同约定的技术要求外，本工程的特殊技术要求如下：</w:t>
      </w:r>
      <w:r>
        <w:rPr>
          <w:szCs w:val="21"/>
          <w:u w:val="single"/>
        </w:rPr>
        <w:t xml:space="preserve">     </w:t>
      </w:r>
      <w:r>
        <w:rPr>
          <w:szCs w:val="21"/>
        </w:rPr>
        <w:t>。</w:t>
      </w:r>
    </w:p>
    <w:p w14:paraId="1ABACADE">
      <w:pPr>
        <w:pStyle w:val="5"/>
        <w:keepNext/>
        <w:keepLines/>
        <w:widowControl w:val="0"/>
        <w:jc w:val="left"/>
        <w:rPr>
          <w:rFonts w:eastAsia="黑体"/>
          <w:b w:val="0"/>
          <w:bCs w:val="0"/>
          <w:sz w:val="28"/>
          <w:szCs w:val="28"/>
        </w:rPr>
      </w:pPr>
      <w:bookmarkStart w:id="711" w:name="_Toc9178571"/>
      <w:bookmarkStart w:id="712" w:name="_Toc80006254"/>
      <w:bookmarkStart w:id="713" w:name="_Toc80006144"/>
      <w:bookmarkStart w:id="714" w:name="_Toc300678559"/>
      <w:r>
        <w:rPr>
          <w:rFonts w:eastAsia="黑体"/>
          <w:b w:val="0"/>
          <w:bCs w:val="0"/>
          <w:sz w:val="28"/>
          <w:szCs w:val="28"/>
        </w:rPr>
        <w:t>3.新技术、新工艺和新材料</w:t>
      </w:r>
      <w:bookmarkEnd w:id="711"/>
      <w:bookmarkEnd w:id="712"/>
      <w:bookmarkEnd w:id="713"/>
      <w:bookmarkEnd w:id="714"/>
    </w:p>
    <w:p w14:paraId="072F5BA6">
      <w:pPr>
        <w:spacing w:line="360" w:lineRule="auto"/>
        <w:ind w:firstLine="420" w:firstLineChars="200"/>
        <w:jc w:val="left"/>
        <w:rPr>
          <w:szCs w:val="21"/>
        </w:rPr>
      </w:pPr>
      <w:r>
        <w:rPr>
          <w:szCs w:val="21"/>
        </w:rPr>
        <w:t>3.1 本工程涉及的新技术、新工艺和新材料及相应使用和操作说明如下：</w:t>
      </w:r>
      <w:r>
        <w:rPr>
          <w:szCs w:val="21"/>
          <w:u w:val="single"/>
        </w:rPr>
        <w:t xml:space="preserve">     </w:t>
      </w:r>
      <w:r>
        <w:rPr>
          <w:szCs w:val="21"/>
        </w:rPr>
        <w:t>。</w:t>
      </w:r>
    </w:p>
    <w:p w14:paraId="1B84912B">
      <w:pPr>
        <w:pStyle w:val="5"/>
        <w:keepNext/>
        <w:keepLines/>
        <w:widowControl w:val="0"/>
        <w:jc w:val="left"/>
        <w:rPr>
          <w:rFonts w:eastAsia="黑体"/>
          <w:b w:val="0"/>
          <w:bCs w:val="0"/>
          <w:sz w:val="28"/>
          <w:szCs w:val="28"/>
        </w:rPr>
      </w:pPr>
      <w:bookmarkStart w:id="715" w:name="_Toc80006256"/>
      <w:bookmarkStart w:id="716" w:name="_Toc80006146"/>
      <w:r>
        <w:rPr>
          <w:rFonts w:hint="eastAsia" w:eastAsia="黑体"/>
          <w:b w:val="0"/>
          <w:bCs w:val="0"/>
          <w:sz w:val="28"/>
          <w:szCs w:val="28"/>
        </w:rPr>
        <w:t>4.其他要求</w:t>
      </w:r>
      <w:bookmarkEnd w:id="715"/>
      <w:bookmarkEnd w:id="716"/>
    </w:p>
    <w:p w14:paraId="69264381">
      <w:pPr>
        <w:spacing w:line="400" w:lineRule="exact"/>
        <w:sectPr>
          <w:pgSz w:w="11907" w:h="16840"/>
          <w:pgMar w:top="1440" w:right="1440" w:bottom="1440" w:left="1440" w:header="851" w:footer="850" w:gutter="0"/>
          <w:cols w:space="720" w:num="1"/>
          <w:docGrid w:linePitch="326" w:charSpace="0"/>
        </w:sectPr>
      </w:pPr>
    </w:p>
    <w:p w14:paraId="1D203691">
      <w:pPr>
        <w:pStyle w:val="4"/>
        <w:jc w:val="center"/>
        <w:rPr>
          <w:rFonts w:ascii="Times New Roman" w:hAnsi="Times New Roman" w:eastAsia="黑体"/>
          <w:b w:val="0"/>
          <w:bCs w:val="0"/>
          <w:sz w:val="30"/>
        </w:rPr>
      </w:pPr>
      <w:bookmarkStart w:id="717" w:name="_Toc80006147"/>
      <w:bookmarkStart w:id="718" w:name="_Toc80006257"/>
      <w:bookmarkStart w:id="719" w:name="_Toc300678561"/>
      <w:r>
        <w:rPr>
          <w:rFonts w:ascii="Times New Roman" w:hAnsi="Times New Roman" w:eastAsia="黑体"/>
          <w:b w:val="0"/>
          <w:bCs w:val="0"/>
          <w:sz w:val="30"/>
        </w:rPr>
        <w:t>第三节  适用的国家、行业以及地方规范、标准和规程</w:t>
      </w:r>
      <w:bookmarkEnd w:id="717"/>
      <w:bookmarkEnd w:id="718"/>
      <w:bookmarkEnd w:id="719"/>
    </w:p>
    <w:p w14:paraId="41545E0F">
      <w:pPr>
        <w:spacing w:line="360" w:lineRule="auto"/>
        <w:jc w:val="left"/>
        <w:rPr>
          <w:sz w:val="18"/>
          <w:szCs w:val="18"/>
        </w:rPr>
      </w:pPr>
      <w:r>
        <w:rPr>
          <w:sz w:val="18"/>
          <w:szCs w:val="18"/>
        </w:rPr>
        <w:t xml:space="preserve"> 说明：本节内容只需列出规范、标准、规程等的名称、编号等内容。由招标人根据国家、行业和地方现行标准、规范和规程等，以及项目具体情况摘录。</w:t>
      </w:r>
    </w:p>
    <w:p w14:paraId="7F83365C">
      <w:pPr>
        <w:spacing w:line="360" w:lineRule="auto"/>
        <w:jc w:val="left"/>
        <w:rPr>
          <w:rFonts w:eastAsia="黑体"/>
        </w:rPr>
      </w:pPr>
    </w:p>
    <w:p w14:paraId="2E62147C">
      <w:pPr>
        <w:spacing w:line="360" w:lineRule="auto"/>
        <w:jc w:val="left"/>
        <w:rPr>
          <w:rFonts w:eastAsia="黑体"/>
        </w:rPr>
      </w:pPr>
    </w:p>
    <w:p w14:paraId="3D257075">
      <w:pPr>
        <w:spacing w:line="360" w:lineRule="auto"/>
        <w:jc w:val="left"/>
        <w:rPr>
          <w:rFonts w:eastAsia="黑体"/>
        </w:rPr>
      </w:pPr>
    </w:p>
    <w:p w14:paraId="60E16515">
      <w:pPr>
        <w:spacing w:line="360" w:lineRule="auto"/>
        <w:jc w:val="left"/>
        <w:rPr>
          <w:rFonts w:eastAsia="黑体"/>
        </w:rPr>
      </w:pPr>
    </w:p>
    <w:p w14:paraId="41A54785">
      <w:pPr>
        <w:spacing w:line="360" w:lineRule="auto"/>
        <w:jc w:val="left"/>
        <w:rPr>
          <w:rFonts w:eastAsia="黑体"/>
        </w:rPr>
      </w:pPr>
    </w:p>
    <w:p w14:paraId="616D491B">
      <w:pPr>
        <w:spacing w:line="360" w:lineRule="auto"/>
        <w:jc w:val="left"/>
        <w:rPr>
          <w:rFonts w:eastAsia="黑体"/>
        </w:rPr>
      </w:pPr>
    </w:p>
    <w:p w14:paraId="7940997A">
      <w:pPr>
        <w:spacing w:line="360" w:lineRule="auto"/>
        <w:jc w:val="left"/>
        <w:rPr>
          <w:rFonts w:eastAsia="黑体"/>
        </w:rPr>
      </w:pPr>
    </w:p>
    <w:p w14:paraId="2C0844A8">
      <w:pPr>
        <w:spacing w:line="360" w:lineRule="auto"/>
        <w:jc w:val="left"/>
        <w:rPr>
          <w:rFonts w:eastAsia="黑体"/>
        </w:rPr>
      </w:pPr>
    </w:p>
    <w:p w14:paraId="1F612FB3">
      <w:pPr>
        <w:spacing w:line="360" w:lineRule="auto"/>
        <w:jc w:val="left"/>
        <w:rPr>
          <w:rFonts w:eastAsia="黑体"/>
        </w:rPr>
      </w:pPr>
      <w:bookmarkStart w:id="720" w:name="_Toc300678562"/>
    </w:p>
    <w:p w14:paraId="35F3B714">
      <w:pPr>
        <w:spacing w:line="360" w:lineRule="auto"/>
        <w:jc w:val="left"/>
        <w:rPr>
          <w:rFonts w:eastAsia="黑体"/>
        </w:rPr>
      </w:pPr>
    </w:p>
    <w:p w14:paraId="6E0EDADA">
      <w:pPr>
        <w:spacing w:line="360" w:lineRule="auto"/>
        <w:jc w:val="left"/>
        <w:rPr>
          <w:rFonts w:eastAsia="黑体"/>
        </w:rPr>
      </w:pPr>
    </w:p>
    <w:p w14:paraId="53BFAB52">
      <w:pPr>
        <w:spacing w:line="360" w:lineRule="auto"/>
        <w:jc w:val="left"/>
        <w:rPr>
          <w:rFonts w:eastAsia="黑体"/>
        </w:rPr>
      </w:pPr>
    </w:p>
    <w:p w14:paraId="3198AB56">
      <w:pPr>
        <w:spacing w:line="360" w:lineRule="auto"/>
        <w:jc w:val="left"/>
        <w:rPr>
          <w:rFonts w:eastAsia="黑体"/>
        </w:rPr>
      </w:pPr>
    </w:p>
    <w:p w14:paraId="0E0BF233">
      <w:pPr>
        <w:spacing w:line="360" w:lineRule="auto"/>
        <w:jc w:val="left"/>
        <w:rPr>
          <w:rFonts w:eastAsia="黑体"/>
        </w:rPr>
      </w:pPr>
    </w:p>
    <w:p w14:paraId="42182171">
      <w:pPr>
        <w:pStyle w:val="6"/>
        <w:rPr>
          <w:rFonts w:ascii="Times New Roman" w:hAnsi="Times New Roman" w:eastAsia="黑体"/>
          <w:b w:val="0"/>
          <w:bCs w:val="0"/>
          <w:sz w:val="24"/>
        </w:rPr>
      </w:pPr>
      <w:r>
        <w:rPr>
          <w:rFonts w:ascii="Times New Roman" w:hAnsi="Times New Roman" w:eastAsia="黑体"/>
          <w:b w:val="0"/>
          <w:bCs w:val="0"/>
          <w:sz w:val="24"/>
        </w:rPr>
        <w:t>附件</w:t>
      </w:r>
      <w:r>
        <w:rPr>
          <w:rFonts w:hint="eastAsia" w:ascii="Times New Roman" w:hAnsi="Times New Roman" w:eastAsia="黑体"/>
          <w:b w:val="0"/>
          <w:bCs w:val="0"/>
          <w:sz w:val="24"/>
        </w:rPr>
        <w:t>7-1</w:t>
      </w:r>
      <w:r>
        <w:rPr>
          <w:rFonts w:ascii="Times New Roman" w:hAnsi="Times New Roman" w:eastAsia="黑体"/>
          <w:b w:val="0"/>
          <w:bCs w:val="0"/>
          <w:sz w:val="24"/>
        </w:rPr>
        <w:t>：施工现场现状平面图</w:t>
      </w:r>
      <w:bookmarkEnd w:id="720"/>
    </w:p>
    <w:p w14:paraId="7782D4CC">
      <w:pPr>
        <w:spacing w:line="360" w:lineRule="auto"/>
        <w:jc w:val="left"/>
        <w:rPr>
          <w:sz w:val="18"/>
          <w:szCs w:val="18"/>
        </w:rPr>
      </w:pPr>
      <w:r>
        <w:rPr>
          <w:sz w:val="18"/>
          <w:szCs w:val="18"/>
        </w:rPr>
        <w:t>说明：该图由招标人准备，并作为招标文件本章的组成内容提供给投标人。图中应当标示本章第一节第1.2.1项规定的内容，并做必要的文字说明。</w:t>
      </w:r>
      <w:r>
        <w:rPr>
          <w:rFonts w:eastAsia="黑体"/>
          <w:bCs/>
          <w:sz w:val="44"/>
          <w:szCs w:val="44"/>
        </w:rPr>
        <w:br w:type="page"/>
      </w:r>
    </w:p>
    <w:p w14:paraId="5487688F">
      <w:pPr>
        <w:spacing w:line="360" w:lineRule="auto"/>
        <w:jc w:val="left"/>
        <w:rPr>
          <w:sz w:val="18"/>
          <w:szCs w:val="18"/>
        </w:rPr>
      </w:pPr>
    </w:p>
    <w:sectPr>
      <w:footerReference r:id="rId9" w:type="default"/>
      <w:pgSz w:w="11907" w:h="16840"/>
      <w:pgMar w:top="1440" w:right="1440" w:bottom="1440" w:left="1440" w:header="851" w:footer="850"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S Sans Serif">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FZShuSong-Z01">
    <w:altName w:val="宋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浠垮畫">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D0646">
    <w:pPr>
      <w:pStyle w:val="27"/>
      <w:jc w:val="center"/>
      <w:rPr>
        <w:rFonts w:ascii="宋体" w:hAnsi="宋体"/>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r>
      <mc:AlternateContent>
        <mc:Choice Requires="wps">
          <w:drawing>
            <wp:anchor distT="0" distB="0" distL="114300" distR="114300" simplePos="0" relativeHeight="251659264" behindDoc="0" locked="0" layoutInCell="1" allowOverlap="1">
              <wp:simplePos x="0" y="0"/>
              <wp:positionH relativeFrom="margin">
                <wp:posOffset>-8568690</wp:posOffset>
              </wp:positionH>
              <wp:positionV relativeFrom="paragraph">
                <wp:posOffset>-10004425</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1ABED97C">
                          <w:pPr>
                            <w:pStyle w:val="27"/>
                            <w:jc w:val="cente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1</w:t>
                          </w:r>
                          <w:r>
                            <w:rPr>
                              <w:rFonts w:ascii="宋体" w:hAnsi="宋体"/>
                            </w:rPr>
                            <w:fldChar w:fldCharType="end"/>
                          </w:r>
                        </w:p>
                      </w:txbxContent>
                    </wps:txbx>
                    <wps:bodyPr vert="horz" wrap="none" lIns="0" tIns="0" rIns="0" bIns="0" anchor="t" anchorCtr="0">
                      <a:spAutoFit/>
                    </wps:bodyPr>
                  </wps:wsp>
                </a:graphicData>
              </a:graphic>
            </wp:anchor>
          </w:drawing>
        </mc:Choice>
        <mc:Fallback>
          <w:pict>
            <v:shape id="文本框 3" o:spid="_x0000_s1026" o:spt="202" type="#_x0000_t202" style="position:absolute;left:0pt;margin-left:-674.7pt;margin-top:-787.75pt;height:144pt;width:144pt;mso-position-horizontal-relative:margin;mso-wrap-style:none;z-index:251659264;mso-width-relative:page;mso-height-relative:page;" filled="f" stroked="f" coordsize="21600,21600" o:gfxdata="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EImv/gAAAAEwEAAA8AAAAAAAAAAQAgAAAAIgAAAGRycy9kb3ducmV2LnhtbFBLAQIUABQAAAAI&#10;AIdO4kB3suja5QEAAMoDAAAOAAAAAAAAAAEAIAAAAC8BAABkcnMvZTJvRG9jLnhtbFBLBQYAAAAA&#10;BgAGAFkBAACGBQAAAAA=&#10;">
              <v:fill on="f" focussize="0,0"/>
              <v:stroke on="f" weight="1.25pt"/>
              <v:imagedata o:title=""/>
              <o:lock v:ext="edit" aspectratio="f"/>
              <v:textbox inset="0mm,0mm,0mm,0mm" style="mso-fit-shape-to-text:t;">
                <w:txbxContent>
                  <w:p w14:paraId="1ABED97C">
                    <w:pPr>
                      <w:pStyle w:val="27"/>
                      <w:jc w:val="cente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1</w:t>
                    </w:r>
                    <w:r>
                      <w:rPr>
                        <w:rFonts w:ascii="宋体" w:hAnsi="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76D26">
    <w:pPr>
      <w:pStyle w:val="27"/>
      <w:jc w:val="cente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5ED3F">
    <w:pPr>
      <w:pStyle w:val="27"/>
      <w:jc w:val="center"/>
      <w:rPr>
        <w:rFonts w:ascii="宋体" w:hAnsi="宋体"/>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21</w:t>
    </w:r>
    <w:r>
      <w:rPr>
        <w:rFonts w:ascii="宋体" w:hAnsi="宋体"/>
        <w:sz w:val="28"/>
        <w:szCs w:val="28"/>
      </w:rPr>
      <w:fldChar w:fldCharType="end"/>
    </w:r>
    <w:r>
      <w:rPr>
        <w:rFonts w:hint="eastAsia" w:ascii="宋体" w:hAnsi="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7C77C">
    <w:pPr>
      <w:pStyle w:val="27"/>
      <w:jc w:val="cente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w:t>
    </w:r>
    <w:r>
      <w:rPr>
        <w:rFonts w:ascii="宋体" w:hAnsi="宋体"/>
        <w:sz w:val="28"/>
        <w:szCs w:val="28"/>
      </w:rPr>
      <w:fldChar w:fldCharType="end"/>
    </w:r>
    <w:r>
      <w:rPr>
        <w:rFonts w:hint="eastAsia" w:ascii="宋体" w:hAnsi="宋体"/>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3945E6">
    <w:pPr>
      <w:pStyle w:val="27"/>
      <w:jc w:val="center"/>
      <w:rPr>
        <w:rFonts w:ascii="宋体" w:hAnsi="宋体"/>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68</w:t>
    </w:r>
    <w:r>
      <w:rPr>
        <w:rFonts w:ascii="宋体" w:hAnsi="宋体"/>
        <w:sz w:val="28"/>
        <w:szCs w:val="28"/>
      </w:rPr>
      <w:fldChar w:fldCharType="end"/>
    </w:r>
    <w:r>
      <w:rPr>
        <w:rFonts w:hint="eastAsia" w:ascii="宋体" w:hAnsi="宋体"/>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5EAD2">
    <w:pPr>
      <w:pStyle w:val="27"/>
      <w:jc w:val="cente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70</w:t>
    </w:r>
    <w:r>
      <w:rPr>
        <w:rFonts w:ascii="宋体" w:hAnsi="宋体"/>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18FB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rawingGridHorizontalSpacing w:val="105"/>
  <w:drawingGridVerticalSpacing w:val="287"/>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4MTE5MjQ4NjgxNjdmMGE4ZmY1NjM4YWNiMGVmMjYifQ=="/>
    <w:docVar w:name="KSO_WPS_MARK_KEY" w:val="a50e4655-995e-4d09-966d-00d19c6f418e"/>
  </w:docVars>
  <w:rsids>
    <w:rsidRoot w:val="00172A27"/>
    <w:rsid w:val="0000012A"/>
    <w:rsid w:val="00000419"/>
    <w:rsid w:val="00001661"/>
    <w:rsid w:val="000017EF"/>
    <w:rsid w:val="00001EBE"/>
    <w:rsid w:val="00002B9C"/>
    <w:rsid w:val="00003E74"/>
    <w:rsid w:val="00006179"/>
    <w:rsid w:val="000072F2"/>
    <w:rsid w:val="000077BA"/>
    <w:rsid w:val="0001026F"/>
    <w:rsid w:val="00010A79"/>
    <w:rsid w:val="00010E33"/>
    <w:rsid w:val="00010E3D"/>
    <w:rsid w:val="000110F2"/>
    <w:rsid w:val="00011D1C"/>
    <w:rsid w:val="00011E53"/>
    <w:rsid w:val="000124E1"/>
    <w:rsid w:val="00013B8E"/>
    <w:rsid w:val="000143C6"/>
    <w:rsid w:val="00015048"/>
    <w:rsid w:val="00021910"/>
    <w:rsid w:val="0002245E"/>
    <w:rsid w:val="00022B7F"/>
    <w:rsid w:val="00023378"/>
    <w:rsid w:val="00023647"/>
    <w:rsid w:val="000236D4"/>
    <w:rsid w:val="00023A43"/>
    <w:rsid w:val="000247D1"/>
    <w:rsid w:val="00025DA7"/>
    <w:rsid w:val="00025FC6"/>
    <w:rsid w:val="000260C3"/>
    <w:rsid w:val="000304C7"/>
    <w:rsid w:val="00030732"/>
    <w:rsid w:val="00030909"/>
    <w:rsid w:val="0003143E"/>
    <w:rsid w:val="00031D21"/>
    <w:rsid w:val="0003301E"/>
    <w:rsid w:val="000339CF"/>
    <w:rsid w:val="00033B73"/>
    <w:rsid w:val="00033D2B"/>
    <w:rsid w:val="00033F28"/>
    <w:rsid w:val="00034BC3"/>
    <w:rsid w:val="0003592D"/>
    <w:rsid w:val="00035EF7"/>
    <w:rsid w:val="00037802"/>
    <w:rsid w:val="0004080D"/>
    <w:rsid w:val="00040E6E"/>
    <w:rsid w:val="000410E0"/>
    <w:rsid w:val="00041860"/>
    <w:rsid w:val="00041A17"/>
    <w:rsid w:val="00042481"/>
    <w:rsid w:val="00042805"/>
    <w:rsid w:val="00043C85"/>
    <w:rsid w:val="00044C89"/>
    <w:rsid w:val="000456C5"/>
    <w:rsid w:val="000460BB"/>
    <w:rsid w:val="000477E0"/>
    <w:rsid w:val="000509BE"/>
    <w:rsid w:val="00050A9D"/>
    <w:rsid w:val="00050AB0"/>
    <w:rsid w:val="000514EB"/>
    <w:rsid w:val="0005359C"/>
    <w:rsid w:val="000549C7"/>
    <w:rsid w:val="0005509E"/>
    <w:rsid w:val="00055BCC"/>
    <w:rsid w:val="00056B38"/>
    <w:rsid w:val="00056C54"/>
    <w:rsid w:val="00057D18"/>
    <w:rsid w:val="000601DC"/>
    <w:rsid w:val="0006183F"/>
    <w:rsid w:val="0006219A"/>
    <w:rsid w:val="00063BCA"/>
    <w:rsid w:val="000646B0"/>
    <w:rsid w:val="00064EC4"/>
    <w:rsid w:val="00065172"/>
    <w:rsid w:val="00065F29"/>
    <w:rsid w:val="00066B04"/>
    <w:rsid w:val="00066D53"/>
    <w:rsid w:val="0007046E"/>
    <w:rsid w:val="000716E4"/>
    <w:rsid w:val="00071978"/>
    <w:rsid w:val="000725A8"/>
    <w:rsid w:val="00072C18"/>
    <w:rsid w:val="000731D9"/>
    <w:rsid w:val="000746E8"/>
    <w:rsid w:val="00074A88"/>
    <w:rsid w:val="00075666"/>
    <w:rsid w:val="0007615A"/>
    <w:rsid w:val="00076278"/>
    <w:rsid w:val="00077006"/>
    <w:rsid w:val="0007730E"/>
    <w:rsid w:val="00077337"/>
    <w:rsid w:val="00077482"/>
    <w:rsid w:val="00077CF6"/>
    <w:rsid w:val="00080E31"/>
    <w:rsid w:val="00080EE9"/>
    <w:rsid w:val="000816F4"/>
    <w:rsid w:val="000823F8"/>
    <w:rsid w:val="000827F0"/>
    <w:rsid w:val="00083B3D"/>
    <w:rsid w:val="0008418D"/>
    <w:rsid w:val="000844E6"/>
    <w:rsid w:val="00085D38"/>
    <w:rsid w:val="00085E16"/>
    <w:rsid w:val="00090BC8"/>
    <w:rsid w:val="0009141B"/>
    <w:rsid w:val="00092B1C"/>
    <w:rsid w:val="000932FD"/>
    <w:rsid w:val="00093D97"/>
    <w:rsid w:val="0009654B"/>
    <w:rsid w:val="00097B15"/>
    <w:rsid w:val="000A0C74"/>
    <w:rsid w:val="000A15B9"/>
    <w:rsid w:val="000A1639"/>
    <w:rsid w:val="000A1DE5"/>
    <w:rsid w:val="000A212C"/>
    <w:rsid w:val="000A3B3B"/>
    <w:rsid w:val="000A4843"/>
    <w:rsid w:val="000A5DE3"/>
    <w:rsid w:val="000A69A2"/>
    <w:rsid w:val="000A6C78"/>
    <w:rsid w:val="000A732F"/>
    <w:rsid w:val="000B069F"/>
    <w:rsid w:val="000B2089"/>
    <w:rsid w:val="000B240C"/>
    <w:rsid w:val="000B2564"/>
    <w:rsid w:val="000B25B6"/>
    <w:rsid w:val="000B2885"/>
    <w:rsid w:val="000B3083"/>
    <w:rsid w:val="000B4391"/>
    <w:rsid w:val="000B4868"/>
    <w:rsid w:val="000B5054"/>
    <w:rsid w:val="000B57D0"/>
    <w:rsid w:val="000B5BB7"/>
    <w:rsid w:val="000B6E27"/>
    <w:rsid w:val="000B7C7E"/>
    <w:rsid w:val="000B7E45"/>
    <w:rsid w:val="000C0D35"/>
    <w:rsid w:val="000C0DF9"/>
    <w:rsid w:val="000C157D"/>
    <w:rsid w:val="000C19F1"/>
    <w:rsid w:val="000C35B2"/>
    <w:rsid w:val="000C39B6"/>
    <w:rsid w:val="000C4938"/>
    <w:rsid w:val="000C50B7"/>
    <w:rsid w:val="000C550E"/>
    <w:rsid w:val="000C6D5B"/>
    <w:rsid w:val="000C7475"/>
    <w:rsid w:val="000C7D35"/>
    <w:rsid w:val="000D0040"/>
    <w:rsid w:val="000D0398"/>
    <w:rsid w:val="000D320F"/>
    <w:rsid w:val="000D47F5"/>
    <w:rsid w:val="000D49EC"/>
    <w:rsid w:val="000D4F77"/>
    <w:rsid w:val="000D5451"/>
    <w:rsid w:val="000D5900"/>
    <w:rsid w:val="000D7BC4"/>
    <w:rsid w:val="000E100D"/>
    <w:rsid w:val="000E15F8"/>
    <w:rsid w:val="000E1C8B"/>
    <w:rsid w:val="000E33FF"/>
    <w:rsid w:val="000E3DCD"/>
    <w:rsid w:val="000E3FD7"/>
    <w:rsid w:val="000E494A"/>
    <w:rsid w:val="000E4A30"/>
    <w:rsid w:val="000E55CC"/>
    <w:rsid w:val="000E738A"/>
    <w:rsid w:val="000F1449"/>
    <w:rsid w:val="000F1BED"/>
    <w:rsid w:val="000F1E3E"/>
    <w:rsid w:val="000F24DF"/>
    <w:rsid w:val="000F2533"/>
    <w:rsid w:val="000F2A7D"/>
    <w:rsid w:val="000F2F57"/>
    <w:rsid w:val="000F3958"/>
    <w:rsid w:val="000F4252"/>
    <w:rsid w:val="000F458E"/>
    <w:rsid w:val="000F47DB"/>
    <w:rsid w:val="000F536E"/>
    <w:rsid w:val="000F6D7B"/>
    <w:rsid w:val="0010039A"/>
    <w:rsid w:val="001009E7"/>
    <w:rsid w:val="00100A0D"/>
    <w:rsid w:val="001022A2"/>
    <w:rsid w:val="00102524"/>
    <w:rsid w:val="00102D90"/>
    <w:rsid w:val="00103D42"/>
    <w:rsid w:val="001044BB"/>
    <w:rsid w:val="00105D95"/>
    <w:rsid w:val="001063B6"/>
    <w:rsid w:val="001063ED"/>
    <w:rsid w:val="00110001"/>
    <w:rsid w:val="00110BAA"/>
    <w:rsid w:val="00110E41"/>
    <w:rsid w:val="001128F6"/>
    <w:rsid w:val="001133E8"/>
    <w:rsid w:val="00113400"/>
    <w:rsid w:val="001134DA"/>
    <w:rsid w:val="00113569"/>
    <w:rsid w:val="001149B3"/>
    <w:rsid w:val="00114E9A"/>
    <w:rsid w:val="00120E42"/>
    <w:rsid w:val="0012105F"/>
    <w:rsid w:val="00121DB8"/>
    <w:rsid w:val="00122A22"/>
    <w:rsid w:val="00123C2D"/>
    <w:rsid w:val="00124748"/>
    <w:rsid w:val="0012535A"/>
    <w:rsid w:val="00125BBA"/>
    <w:rsid w:val="00125FA2"/>
    <w:rsid w:val="00125FE0"/>
    <w:rsid w:val="0012612A"/>
    <w:rsid w:val="0012714D"/>
    <w:rsid w:val="00127D73"/>
    <w:rsid w:val="001302F1"/>
    <w:rsid w:val="0013039A"/>
    <w:rsid w:val="001309B7"/>
    <w:rsid w:val="0013172B"/>
    <w:rsid w:val="00131A66"/>
    <w:rsid w:val="001321A3"/>
    <w:rsid w:val="00133444"/>
    <w:rsid w:val="001336CC"/>
    <w:rsid w:val="001336EB"/>
    <w:rsid w:val="00134F96"/>
    <w:rsid w:val="00135863"/>
    <w:rsid w:val="001379AC"/>
    <w:rsid w:val="00141437"/>
    <w:rsid w:val="00141822"/>
    <w:rsid w:val="00142830"/>
    <w:rsid w:val="00142A16"/>
    <w:rsid w:val="00144E41"/>
    <w:rsid w:val="0014627A"/>
    <w:rsid w:val="001462F6"/>
    <w:rsid w:val="00147330"/>
    <w:rsid w:val="001477FD"/>
    <w:rsid w:val="001479A2"/>
    <w:rsid w:val="00147D27"/>
    <w:rsid w:val="00150643"/>
    <w:rsid w:val="001509F4"/>
    <w:rsid w:val="00151B63"/>
    <w:rsid w:val="00151FB5"/>
    <w:rsid w:val="00154052"/>
    <w:rsid w:val="001546C6"/>
    <w:rsid w:val="00154FF1"/>
    <w:rsid w:val="00155573"/>
    <w:rsid w:val="00155596"/>
    <w:rsid w:val="0015715B"/>
    <w:rsid w:val="0016053D"/>
    <w:rsid w:val="001607AD"/>
    <w:rsid w:val="001625CB"/>
    <w:rsid w:val="00163B47"/>
    <w:rsid w:val="00163BF1"/>
    <w:rsid w:val="001645ED"/>
    <w:rsid w:val="001647CA"/>
    <w:rsid w:val="00165400"/>
    <w:rsid w:val="0016562D"/>
    <w:rsid w:val="001656C6"/>
    <w:rsid w:val="00167203"/>
    <w:rsid w:val="001701F2"/>
    <w:rsid w:val="00170487"/>
    <w:rsid w:val="001709ED"/>
    <w:rsid w:val="00171938"/>
    <w:rsid w:val="00172A27"/>
    <w:rsid w:val="00174080"/>
    <w:rsid w:val="00174D63"/>
    <w:rsid w:val="001753A4"/>
    <w:rsid w:val="00175746"/>
    <w:rsid w:val="001759CE"/>
    <w:rsid w:val="001807AA"/>
    <w:rsid w:val="00181A76"/>
    <w:rsid w:val="00182550"/>
    <w:rsid w:val="00183FA7"/>
    <w:rsid w:val="0018442E"/>
    <w:rsid w:val="00184526"/>
    <w:rsid w:val="001848E9"/>
    <w:rsid w:val="001850A2"/>
    <w:rsid w:val="0018678E"/>
    <w:rsid w:val="00187A73"/>
    <w:rsid w:val="00190E5F"/>
    <w:rsid w:val="001916B2"/>
    <w:rsid w:val="00191B87"/>
    <w:rsid w:val="0019233E"/>
    <w:rsid w:val="001929B5"/>
    <w:rsid w:val="0019326F"/>
    <w:rsid w:val="00193795"/>
    <w:rsid w:val="001937ED"/>
    <w:rsid w:val="00193BEB"/>
    <w:rsid w:val="00194B00"/>
    <w:rsid w:val="001963F0"/>
    <w:rsid w:val="00197171"/>
    <w:rsid w:val="001971B3"/>
    <w:rsid w:val="00197C09"/>
    <w:rsid w:val="001A10B7"/>
    <w:rsid w:val="001A31C0"/>
    <w:rsid w:val="001A34F1"/>
    <w:rsid w:val="001A3529"/>
    <w:rsid w:val="001A42BF"/>
    <w:rsid w:val="001A5479"/>
    <w:rsid w:val="001A575C"/>
    <w:rsid w:val="001A5F4D"/>
    <w:rsid w:val="001A5FA8"/>
    <w:rsid w:val="001A66C5"/>
    <w:rsid w:val="001A7BEF"/>
    <w:rsid w:val="001B0197"/>
    <w:rsid w:val="001B1EE2"/>
    <w:rsid w:val="001B2111"/>
    <w:rsid w:val="001B2990"/>
    <w:rsid w:val="001B2B55"/>
    <w:rsid w:val="001B37CB"/>
    <w:rsid w:val="001B39F6"/>
    <w:rsid w:val="001B3C9A"/>
    <w:rsid w:val="001B3F64"/>
    <w:rsid w:val="001B593C"/>
    <w:rsid w:val="001B5FBA"/>
    <w:rsid w:val="001B6ADB"/>
    <w:rsid w:val="001B7695"/>
    <w:rsid w:val="001C07A2"/>
    <w:rsid w:val="001C0963"/>
    <w:rsid w:val="001C1015"/>
    <w:rsid w:val="001C14D8"/>
    <w:rsid w:val="001C2E14"/>
    <w:rsid w:val="001C30FF"/>
    <w:rsid w:val="001C43F1"/>
    <w:rsid w:val="001C4E35"/>
    <w:rsid w:val="001C5163"/>
    <w:rsid w:val="001C518E"/>
    <w:rsid w:val="001D014A"/>
    <w:rsid w:val="001D1644"/>
    <w:rsid w:val="001D3294"/>
    <w:rsid w:val="001D3FB1"/>
    <w:rsid w:val="001D3FB2"/>
    <w:rsid w:val="001D4D10"/>
    <w:rsid w:val="001D55AE"/>
    <w:rsid w:val="001E0A51"/>
    <w:rsid w:val="001E2006"/>
    <w:rsid w:val="001E21D2"/>
    <w:rsid w:val="001E51F0"/>
    <w:rsid w:val="001E5283"/>
    <w:rsid w:val="001E58E4"/>
    <w:rsid w:val="001E596D"/>
    <w:rsid w:val="001E5999"/>
    <w:rsid w:val="001E5AAC"/>
    <w:rsid w:val="001E604B"/>
    <w:rsid w:val="001E6794"/>
    <w:rsid w:val="001E6C29"/>
    <w:rsid w:val="001E7736"/>
    <w:rsid w:val="001E7F10"/>
    <w:rsid w:val="001F037B"/>
    <w:rsid w:val="001F0D6B"/>
    <w:rsid w:val="001F1841"/>
    <w:rsid w:val="001F18F2"/>
    <w:rsid w:val="001F1A73"/>
    <w:rsid w:val="001F1FA2"/>
    <w:rsid w:val="001F21B1"/>
    <w:rsid w:val="001F253E"/>
    <w:rsid w:val="001F31DD"/>
    <w:rsid w:val="001F354E"/>
    <w:rsid w:val="001F4778"/>
    <w:rsid w:val="001F5941"/>
    <w:rsid w:val="001F7131"/>
    <w:rsid w:val="001F7958"/>
    <w:rsid w:val="001F7CBB"/>
    <w:rsid w:val="00200311"/>
    <w:rsid w:val="0020093F"/>
    <w:rsid w:val="00200ECE"/>
    <w:rsid w:val="00201C7A"/>
    <w:rsid w:val="0020269E"/>
    <w:rsid w:val="0020382F"/>
    <w:rsid w:val="00203B75"/>
    <w:rsid w:val="002044B3"/>
    <w:rsid w:val="0020511B"/>
    <w:rsid w:val="002066B6"/>
    <w:rsid w:val="002100BF"/>
    <w:rsid w:val="00210C1C"/>
    <w:rsid w:val="002110AE"/>
    <w:rsid w:val="002111ED"/>
    <w:rsid w:val="00211239"/>
    <w:rsid w:val="00212378"/>
    <w:rsid w:val="00212660"/>
    <w:rsid w:val="002129F9"/>
    <w:rsid w:val="00212B80"/>
    <w:rsid w:val="00213002"/>
    <w:rsid w:val="00213D46"/>
    <w:rsid w:val="00213D47"/>
    <w:rsid w:val="00213E8A"/>
    <w:rsid w:val="00214127"/>
    <w:rsid w:val="0021420B"/>
    <w:rsid w:val="00214383"/>
    <w:rsid w:val="0021443E"/>
    <w:rsid w:val="0021472F"/>
    <w:rsid w:val="00216750"/>
    <w:rsid w:val="00217126"/>
    <w:rsid w:val="002209F0"/>
    <w:rsid w:val="00221357"/>
    <w:rsid w:val="00221885"/>
    <w:rsid w:val="002219CA"/>
    <w:rsid w:val="00221E87"/>
    <w:rsid w:val="00223C02"/>
    <w:rsid w:val="00224096"/>
    <w:rsid w:val="0022412D"/>
    <w:rsid w:val="00224BB7"/>
    <w:rsid w:val="00224BDC"/>
    <w:rsid w:val="00224CBD"/>
    <w:rsid w:val="00224F55"/>
    <w:rsid w:val="00225648"/>
    <w:rsid w:val="002259BE"/>
    <w:rsid w:val="00225C0D"/>
    <w:rsid w:val="0023078C"/>
    <w:rsid w:val="002312F5"/>
    <w:rsid w:val="00232249"/>
    <w:rsid w:val="00232D5D"/>
    <w:rsid w:val="00234911"/>
    <w:rsid w:val="002354C5"/>
    <w:rsid w:val="00236EA2"/>
    <w:rsid w:val="00236F1A"/>
    <w:rsid w:val="00240221"/>
    <w:rsid w:val="00240554"/>
    <w:rsid w:val="002411C0"/>
    <w:rsid w:val="00241EA6"/>
    <w:rsid w:val="002425F2"/>
    <w:rsid w:val="00242D37"/>
    <w:rsid w:val="00242EFB"/>
    <w:rsid w:val="002456C5"/>
    <w:rsid w:val="00245948"/>
    <w:rsid w:val="00245BE1"/>
    <w:rsid w:val="00247671"/>
    <w:rsid w:val="0024767A"/>
    <w:rsid w:val="002506CA"/>
    <w:rsid w:val="0025132B"/>
    <w:rsid w:val="00251360"/>
    <w:rsid w:val="002516C0"/>
    <w:rsid w:val="00252462"/>
    <w:rsid w:val="00252AD0"/>
    <w:rsid w:val="00252FAD"/>
    <w:rsid w:val="0025346F"/>
    <w:rsid w:val="00253AA4"/>
    <w:rsid w:val="00254005"/>
    <w:rsid w:val="0025435A"/>
    <w:rsid w:val="00254581"/>
    <w:rsid w:val="00254AD9"/>
    <w:rsid w:val="00254F9A"/>
    <w:rsid w:val="00256F9B"/>
    <w:rsid w:val="0026091C"/>
    <w:rsid w:val="002637B7"/>
    <w:rsid w:val="00263B77"/>
    <w:rsid w:val="00264149"/>
    <w:rsid w:val="002641C6"/>
    <w:rsid w:val="0026462C"/>
    <w:rsid w:val="00266064"/>
    <w:rsid w:val="00272A69"/>
    <w:rsid w:val="00272F81"/>
    <w:rsid w:val="00273597"/>
    <w:rsid w:val="0027399E"/>
    <w:rsid w:val="002741BB"/>
    <w:rsid w:val="00274426"/>
    <w:rsid w:val="00274592"/>
    <w:rsid w:val="0027479F"/>
    <w:rsid w:val="00274A1D"/>
    <w:rsid w:val="00274C58"/>
    <w:rsid w:val="00274E07"/>
    <w:rsid w:val="00274F2A"/>
    <w:rsid w:val="002758FD"/>
    <w:rsid w:val="0027603A"/>
    <w:rsid w:val="00276971"/>
    <w:rsid w:val="00276C74"/>
    <w:rsid w:val="0028002F"/>
    <w:rsid w:val="00280150"/>
    <w:rsid w:val="00280C8B"/>
    <w:rsid w:val="00283304"/>
    <w:rsid w:val="00283BBA"/>
    <w:rsid w:val="00284179"/>
    <w:rsid w:val="002849FC"/>
    <w:rsid w:val="0028507D"/>
    <w:rsid w:val="00285520"/>
    <w:rsid w:val="00285E0E"/>
    <w:rsid w:val="00286C5D"/>
    <w:rsid w:val="00286F67"/>
    <w:rsid w:val="002870A4"/>
    <w:rsid w:val="002879DB"/>
    <w:rsid w:val="00290ED2"/>
    <w:rsid w:val="002921BD"/>
    <w:rsid w:val="002926AA"/>
    <w:rsid w:val="00292958"/>
    <w:rsid w:val="00292C0C"/>
    <w:rsid w:val="00292E30"/>
    <w:rsid w:val="0029307D"/>
    <w:rsid w:val="002930BE"/>
    <w:rsid w:val="002937C3"/>
    <w:rsid w:val="00293A46"/>
    <w:rsid w:val="00293B78"/>
    <w:rsid w:val="00294125"/>
    <w:rsid w:val="00294432"/>
    <w:rsid w:val="00295335"/>
    <w:rsid w:val="00296937"/>
    <w:rsid w:val="00296C1B"/>
    <w:rsid w:val="0029726C"/>
    <w:rsid w:val="002A03B0"/>
    <w:rsid w:val="002A121B"/>
    <w:rsid w:val="002A1BBC"/>
    <w:rsid w:val="002A201F"/>
    <w:rsid w:val="002A2229"/>
    <w:rsid w:val="002A22B2"/>
    <w:rsid w:val="002A4C0D"/>
    <w:rsid w:val="002A50DF"/>
    <w:rsid w:val="002A663B"/>
    <w:rsid w:val="002A70FE"/>
    <w:rsid w:val="002A7623"/>
    <w:rsid w:val="002A7805"/>
    <w:rsid w:val="002A7E5A"/>
    <w:rsid w:val="002B0607"/>
    <w:rsid w:val="002B08CE"/>
    <w:rsid w:val="002B14F7"/>
    <w:rsid w:val="002B25DB"/>
    <w:rsid w:val="002B355C"/>
    <w:rsid w:val="002B3BCE"/>
    <w:rsid w:val="002B4787"/>
    <w:rsid w:val="002B4E1B"/>
    <w:rsid w:val="002B51B5"/>
    <w:rsid w:val="002B58D3"/>
    <w:rsid w:val="002B6307"/>
    <w:rsid w:val="002B65E9"/>
    <w:rsid w:val="002C0210"/>
    <w:rsid w:val="002C05C1"/>
    <w:rsid w:val="002C197A"/>
    <w:rsid w:val="002C1B19"/>
    <w:rsid w:val="002C1C2C"/>
    <w:rsid w:val="002C29C9"/>
    <w:rsid w:val="002C2A5C"/>
    <w:rsid w:val="002C48A4"/>
    <w:rsid w:val="002C4CDA"/>
    <w:rsid w:val="002C6383"/>
    <w:rsid w:val="002C6EF9"/>
    <w:rsid w:val="002C700E"/>
    <w:rsid w:val="002C765C"/>
    <w:rsid w:val="002C79A1"/>
    <w:rsid w:val="002D0A26"/>
    <w:rsid w:val="002D0E39"/>
    <w:rsid w:val="002D2A52"/>
    <w:rsid w:val="002D2FA4"/>
    <w:rsid w:val="002D450B"/>
    <w:rsid w:val="002D4A45"/>
    <w:rsid w:val="002D533C"/>
    <w:rsid w:val="002D589E"/>
    <w:rsid w:val="002D5B19"/>
    <w:rsid w:val="002D5B58"/>
    <w:rsid w:val="002D5B82"/>
    <w:rsid w:val="002D697E"/>
    <w:rsid w:val="002D6F6C"/>
    <w:rsid w:val="002D725C"/>
    <w:rsid w:val="002D7BCF"/>
    <w:rsid w:val="002E0625"/>
    <w:rsid w:val="002E0A66"/>
    <w:rsid w:val="002E12CD"/>
    <w:rsid w:val="002E21EE"/>
    <w:rsid w:val="002E2AA2"/>
    <w:rsid w:val="002E2FAD"/>
    <w:rsid w:val="002E35ED"/>
    <w:rsid w:val="002E4053"/>
    <w:rsid w:val="002E4625"/>
    <w:rsid w:val="002E46C2"/>
    <w:rsid w:val="002E4B82"/>
    <w:rsid w:val="002E4D13"/>
    <w:rsid w:val="002E4F7D"/>
    <w:rsid w:val="002E59B4"/>
    <w:rsid w:val="002E6A8D"/>
    <w:rsid w:val="002E6B96"/>
    <w:rsid w:val="002E7A59"/>
    <w:rsid w:val="002E7F08"/>
    <w:rsid w:val="002F24FF"/>
    <w:rsid w:val="002F2600"/>
    <w:rsid w:val="002F27FD"/>
    <w:rsid w:val="002F2906"/>
    <w:rsid w:val="002F3195"/>
    <w:rsid w:val="002F363B"/>
    <w:rsid w:val="002F37E5"/>
    <w:rsid w:val="002F3CDB"/>
    <w:rsid w:val="002F65E8"/>
    <w:rsid w:val="003002F7"/>
    <w:rsid w:val="00300D6E"/>
    <w:rsid w:val="00300DBF"/>
    <w:rsid w:val="003012AD"/>
    <w:rsid w:val="00302279"/>
    <w:rsid w:val="00302519"/>
    <w:rsid w:val="003028AE"/>
    <w:rsid w:val="00304F0B"/>
    <w:rsid w:val="00305028"/>
    <w:rsid w:val="00305F90"/>
    <w:rsid w:val="00306577"/>
    <w:rsid w:val="003070EF"/>
    <w:rsid w:val="00307B50"/>
    <w:rsid w:val="00310293"/>
    <w:rsid w:val="00310D7D"/>
    <w:rsid w:val="00310EC9"/>
    <w:rsid w:val="00310FA4"/>
    <w:rsid w:val="00311237"/>
    <w:rsid w:val="00311436"/>
    <w:rsid w:val="00311705"/>
    <w:rsid w:val="00311A7F"/>
    <w:rsid w:val="00312384"/>
    <w:rsid w:val="003144C6"/>
    <w:rsid w:val="00314566"/>
    <w:rsid w:val="0031479F"/>
    <w:rsid w:val="00316F15"/>
    <w:rsid w:val="0031739B"/>
    <w:rsid w:val="00323177"/>
    <w:rsid w:val="003232E7"/>
    <w:rsid w:val="003247DA"/>
    <w:rsid w:val="00324D4A"/>
    <w:rsid w:val="00326B99"/>
    <w:rsid w:val="0032762C"/>
    <w:rsid w:val="00327988"/>
    <w:rsid w:val="003309A7"/>
    <w:rsid w:val="00330F3E"/>
    <w:rsid w:val="00331F93"/>
    <w:rsid w:val="003324FD"/>
    <w:rsid w:val="00332AB5"/>
    <w:rsid w:val="003353A4"/>
    <w:rsid w:val="00335C44"/>
    <w:rsid w:val="00336B41"/>
    <w:rsid w:val="00337E93"/>
    <w:rsid w:val="003400CE"/>
    <w:rsid w:val="0034089A"/>
    <w:rsid w:val="00341031"/>
    <w:rsid w:val="0034183E"/>
    <w:rsid w:val="00342588"/>
    <w:rsid w:val="00342EB6"/>
    <w:rsid w:val="00343428"/>
    <w:rsid w:val="00343467"/>
    <w:rsid w:val="00343691"/>
    <w:rsid w:val="00344099"/>
    <w:rsid w:val="0034455F"/>
    <w:rsid w:val="00345BAB"/>
    <w:rsid w:val="003474D9"/>
    <w:rsid w:val="0034766B"/>
    <w:rsid w:val="00347912"/>
    <w:rsid w:val="00347F42"/>
    <w:rsid w:val="00347FCB"/>
    <w:rsid w:val="0035014A"/>
    <w:rsid w:val="0035021D"/>
    <w:rsid w:val="0035023B"/>
    <w:rsid w:val="003506B8"/>
    <w:rsid w:val="003509F5"/>
    <w:rsid w:val="00350AB3"/>
    <w:rsid w:val="00350C3C"/>
    <w:rsid w:val="00351152"/>
    <w:rsid w:val="0035122E"/>
    <w:rsid w:val="00351CC8"/>
    <w:rsid w:val="003524F9"/>
    <w:rsid w:val="00353944"/>
    <w:rsid w:val="00354387"/>
    <w:rsid w:val="00354BF7"/>
    <w:rsid w:val="00354D46"/>
    <w:rsid w:val="003556C6"/>
    <w:rsid w:val="00355AEF"/>
    <w:rsid w:val="00356C3C"/>
    <w:rsid w:val="00357846"/>
    <w:rsid w:val="0036096B"/>
    <w:rsid w:val="00360D53"/>
    <w:rsid w:val="003624CA"/>
    <w:rsid w:val="0036273D"/>
    <w:rsid w:val="00362F36"/>
    <w:rsid w:val="00364D43"/>
    <w:rsid w:val="00364D62"/>
    <w:rsid w:val="00365808"/>
    <w:rsid w:val="00365DED"/>
    <w:rsid w:val="00366055"/>
    <w:rsid w:val="0036622E"/>
    <w:rsid w:val="00366A27"/>
    <w:rsid w:val="00366C1F"/>
    <w:rsid w:val="00367CBF"/>
    <w:rsid w:val="003701C3"/>
    <w:rsid w:val="00372FCC"/>
    <w:rsid w:val="003739F2"/>
    <w:rsid w:val="003741EF"/>
    <w:rsid w:val="00376915"/>
    <w:rsid w:val="00376F8B"/>
    <w:rsid w:val="003772DB"/>
    <w:rsid w:val="00377389"/>
    <w:rsid w:val="00380281"/>
    <w:rsid w:val="003802C8"/>
    <w:rsid w:val="00380A92"/>
    <w:rsid w:val="00380ECB"/>
    <w:rsid w:val="00381F70"/>
    <w:rsid w:val="003828B3"/>
    <w:rsid w:val="00387153"/>
    <w:rsid w:val="00387A73"/>
    <w:rsid w:val="00390858"/>
    <w:rsid w:val="00390BAC"/>
    <w:rsid w:val="003925A9"/>
    <w:rsid w:val="00393987"/>
    <w:rsid w:val="003957F5"/>
    <w:rsid w:val="00395D87"/>
    <w:rsid w:val="00396B81"/>
    <w:rsid w:val="00396E9E"/>
    <w:rsid w:val="003971B4"/>
    <w:rsid w:val="003A098E"/>
    <w:rsid w:val="003A0AB7"/>
    <w:rsid w:val="003A0FB8"/>
    <w:rsid w:val="003A1635"/>
    <w:rsid w:val="003A1E93"/>
    <w:rsid w:val="003A2121"/>
    <w:rsid w:val="003A3586"/>
    <w:rsid w:val="003A6FB2"/>
    <w:rsid w:val="003A7C11"/>
    <w:rsid w:val="003B0032"/>
    <w:rsid w:val="003B0DC0"/>
    <w:rsid w:val="003B0E5F"/>
    <w:rsid w:val="003B1472"/>
    <w:rsid w:val="003B2A39"/>
    <w:rsid w:val="003B2BB6"/>
    <w:rsid w:val="003B3F79"/>
    <w:rsid w:val="003B4436"/>
    <w:rsid w:val="003B4B0D"/>
    <w:rsid w:val="003B4DAD"/>
    <w:rsid w:val="003B560B"/>
    <w:rsid w:val="003B58B2"/>
    <w:rsid w:val="003B5D25"/>
    <w:rsid w:val="003B5E0B"/>
    <w:rsid w:val="003B74D9"/>
    <w:rsid w:val="003C06B8"/>
    <w:rsid w:val="003C235C"/>
    <w:rsid w:val="003C292A"/>
    <w:rsid w:val="003C293F"/>
    <w:rsid w:val="003C3609"/>
    <w:rsid w:val="003C4566"/>
    <w:rsid w:val="003C561B"/>
    <w:rsid w:val="003C7491"/>
    <w:rsid w:val="003C7737"/>
    <w:rsid w:val="003C7F06"/>
    <w:rsid w:val="003D1571"/>
    <w:rsid w:val="003D1DA6"/>
    <w:rsid w:val="003D33EF"/>
    <w:rsid w:val="003D3A7F"/>
    <w:rsid w:val="003D4D29"/>
    <w:rsid w:val="003D544A"/>
    <w:rsid w:val="003D55CE"/>
    <w:rsid w:val="003D63AC"/>
    <w:rsid w:val="003D6A5B"/>
    <w:rsid w:val="003D7FAC"/>
    <w:rsid w:val="003E0EE4"/>
    <w:rsid w:val="003E2090"/>
    <w:rsid w:val="003E345F"/>
    <w:rsid w:val="003E3CBC"/>
    <w:rsid w:val="003E4AD0"/>
    <w:rsid w:val="003E5DC4"/>
    <w:rsid w:val="003E621B"/>
    <w:rsid w:val="003E6C93"/>
    <w:rsid w:val="003E6D1B"/>
    <w:rsid w:val="003F0884"/>
    <w:rsid w:val="003F0C4F"/>
    <w:rsid w:val="003F108C"/>
    <w:rsid w:val="003F221F"/>
    <w:rsid w:val="003F28E7"/>
    <w:rsid w:val="003F328E"/>
    <w:rsid w:val="003F3EA8"/>
    <w:rsid w:val="003F3FA8"/>
    <w:rsid w:val="003F4DAD"/>
    <w:rsid w:val="003F536A"/>
    <w:rsid w:val="003F570C"/>
    <w:rsid w:val="003F6462"/>
    <w:rsid w:val="003F6E59"/>
    <w:rsid w:val="003F75AA"/>
    <w:rsid w:val="003F77AA"/>
    <w:rsid w:val="003F7B6F"/>
    <w:rsid w:val="0040395B"/>
    <w:rsid w:val="00403A3D"/>
    <w:rsid w:val="0040445B"/>
    <w:rsid w:val="00404AAF"/>
    <w:rsid w:val="004053B6"/>
    <w:rsid w:val="0040586A"/>
    <w:rsid w:val="0040794D"/>
    <w:rsid w:val="0040797D"/>
    <w:rsid w:val="00410210"/>
    <w:rsid w:val="0041079E"/>
    <w:rsid w:val="00410D89"/>
    <w:rsid w:val="00411AA4"/>
    <w:rsid w:val="00411F04"/>
    <w:rsid w:val="0041364A"/>
    <w:rsid w:val="00414A2A"/>
    <w:rsid w:val="00415114"/>
    <w:rsid w:val="0041529B"/>
    <w:rsid w:val="00415320"/>
    <w:rsid w:val="00415CB1"/>
    <w:rsid w:val="0041689E"/>
    <w:rsid w:val="004202C8"/>
    <w:rsid w:val="004207F0"/>
    <w:rsid w:val="00421173"/>
    <w:rsid w:val="00421D5D"/>
    <w:rsid w:val="00422308"/>
    <w:rsid w:val="00424073"/>
    <w:rsid w:val="0042483F"/>
    <w:rsid w:val="0042693C"/>
    <w:rsid w:val="00427946"/>
    <w:rsid w:val="00427B47"/>
    <w:rsid w:val="00430439"/>
    <w:rsid w:val="0043044A"/>
    <w:rsid w:val="004305EC"/>
    <w:rsid w:val="00430F9B"/>
    <w:rsid w:val="0043175E"/>
    <w:rsid w:val="00432043"/>
    <w:rsid w:val="00432060"/>
    <w:rsid w:val="00432128"/>
    <w:rsid w:val="00432510"/>
    <w:rsid w:val="00433E3B"/>
    <w:rsid w:val="00434866"/>
    <w:rsid w:val="00434882"/>
    <w:rsid w:val="00434D7F"/>
    <w:rsid w:val="00435771"/>
    <w:rsid w:val="00435ED7"/>
    <w:rsid w:val="004361C2"/>
    <w:rsid w:val="00436981"/>
    <w:rsid w:val="0044011D"/>
    <w:rsid w:val="00440678"/>
    <w:rsid w:val="00440931"/>
    <w:rsid w:val="00441F79"/>
    <w:rsid w:val="0044302A"/>
    <w:rsid w:val="00443A20"/>
    <w:rsid w:val="00443B70"/>
    <w:rsid w:val="004441C3"/>
    <w:rsid w:val="004460E0"/>
    <w:rsid w:val="00446F09"/>
    <w:rsid w:val="00451490"/>
    <w:rsid w:val="004514A3"/>
    <w:rsid w:val="004514EA"/>
    <w:rsid w:val="00451941"/>
    <w:rsid w:val="00451C9C"/>
    <w:rsid w:val="004526A9"/>
    <w:rsid w:val="00452703"/>
    <w:rsid w:val="00452A0F"/>
    <w:rsid w:val="0045304A"/>
    <w:rsid w:val="004532DF"/>
    <w:rsid w:val="0045403F"/>
    <w:rsid w:val="004542CB"/>
    <w:rsid w:val="00454A46"/>
    <w:rsid w:val="00454E38"/>
    <w:rsid w:val="0045503D"/>
    <w:rsid w:val="0045540B"/>
    <w:rsid w:val="00456DC8"/>
    <w:rsid w:val="004579B9"/>
    <w:rsid w:val="00457F0F"/>
    <w:rsid w:val="00460365"/>
    <w:rsid w:val="0046138A"/>
    <w:rsid w:val="00461941"/>
    <w:rsid w:val="00461FF6"/>
    <w:rsid w:val="00462062"/>
    <w:rsid w:val="00462C7E"/>
    <w:rsid w:val="00463E50"/>
    <w:rsid w:val="00464187"/>
    <w:rsid w:val="0046463E"/>
    <w:rsid w:val="00466CBC"/>
    <w:rsid w:val="004674C9"/>
    <w:rsid w:val="00470216"/>
    <w:rsid w:val="004710E2"/>
    <w:rsid w:val="0047123B"/>
    <w:rsid w:val="00471DDC"/>
    <w:rsid w:val="004721FA"/>
    <w:rsid w:val="00472754"/>
    <w:rsid w:val="004730FB"/>
    <w:rsid w:val="00473841"/>
    <w:rsid w:val="00474156"/>
    <w:rsid w:val="0047634B"/>
    <w:rsid w:val="00477025"/>
    <w:rsid w:val="004778A8"/>
    <w:rsid w:val="00482557"/>
    <w:rsid w:val="004825AA"/>
    <w:rsid w:val="004835A3"/>
    <w:rsid w:val="00483BB9"/>
    <w:rsid w:val="00484926"/>
    <w:rsid w:val="00485D4D"/>
    <w:rsid w:val="004863D3"/>
    <w:rsid w:val="0048776B"/>
    <w:rsid w:val="00487A5B"/>
    <w:rsid w:val="00491157"/>
    <w:rsid w:val="00491499"/>
    <w:rsid w:val="00491762"/>
    <w:rsid w:val="00492BC1"/>
    <w:rsid w:val="00492F95"/>
    <w:rsid w:val="00493F3A"/>
    <w:rsid w:val="00494777"/>
    <w:rsid w:val="0049498F"/>
    <w:rsid w:val="004960F5"/>
    <w:rsid w:val="00497497"/>
    <w:rsid w:val="004A155E"/>
    <w:rsid w:val="004A255D"/>
    <w:rsid w:val="004A2F38"/>
    <w:rsid w:val="004A4EF1"/>
    <w:rsid w:val="004A5338"/>
    <w:rsid w:val="004A53BD"/>
    <w:rsid w:val="004A6E10"/>
    <w:rsid w:val="004A7FF3"/>
    <w:rsid w:val="004B0297"/>
    <w:rsid w:val="004B03AA"/>
    <w:rsid w:val="004B27E2"/>
    <w:rsid w:val="004B28DA"/>
    <w:rsid w:val="004B2969"/>
    <w:rsid w:val="004B2F55"/>
    <w:rsid w:val="004B2F79"/>
    <w:rsid w:val="004B3871"/>
    <w:rsid w:val="004B4B68"/>
    <w:rsid w:val="004B4BFC"/>
    <w:rsid w:val="004B54B5"/>
    <w:rsid w:val="004B6A3B"/>
    <w:rsid w:val="004B7591"/>
    <w:rsid w:val="004B7792"/>
    <w:rsid w:val="004B7921"/>
    <w:rsid w:val="004C16FD"/>
    <w:rsid w:val="004C374B"/>
    <w:rsid w:val="004C5219"/>
    <w:rsid w:val="004C5CBB"/>
    <w:rsid w:val="004C61A5"/>
    <w:rsid w:val="004C70A6"/>
    <w:rsid w:val="004D0543"/>
    <w:rsid w:val="004D0DCE"/>
    <w:rsid w:val="004D223C"/>
    <w:rsid w:val="004D2605"/>
    <w:rsid w:val="004D2EA7"/>
    <w:rsid w:val="004D48A3"/>
    <w:rsid w:val="004D543F"/>
    <w:rsid w:val="004D5BB3"/>
    <w:rsid w:val="004D5ECA"/>
    <w:rsid w:val="004D6371"/>
    <w:rsid w:val="004D69C6"/>
    <w:rsid w:val="004D70CA"/>
    <w:rsid w:val="004D77AD"/>
    <w:rsid w:val="004D7ADC"/>
    <w:rsid w:val="004E0DAA"/>
    <w:rsid w:val="004E12BB"/>
    <w:rsid w:val="004E1AC3"/>
    <w:rsid w:val="004E22A1"/>
    <w:rsid w:val="004E28C3"/>
    <w:rsid w:val="004E290B"/>
    <w:rsid w:val="004E2EFF"/>
    <w:rsid w:val="004E31E7"/>
    <w:rsid w:val="004E3C96"/>
    <w:rsid w:val="004E4349"/>
    <w:rsid w:val="004E6E4B"/>
    <w:rsid w:val="004E7749"/>
    <w:rsid w:val="004F0014"/>
    <w:rsid w:val="004F123A"/>
    <w:rsid w:val="004F171E"/>
    <w:rsid w:val="004F184F"/>
    <w:rsid w:val="004F1A28"/>
    <w:rsid w:val="004F25C8"/>
    <w:rsid w:val="004F37CB"/>
    <w:rsid w:val="004F3974"/>
    <w:rsid w:val="004F5B5F"/>
    <w:rsid w:val="004F5C40"/>
    <w:rsid w:val="004F5E7E"/>
    <w:rsid w:val="004F6AF0"/>
    <w:rsid w:val="004F7800"/>
    <w:rsid w:val="004F785A"/>
    <w:rsid w:val="004F7EBE"/>
    <w:rsid w:val="00500C14"/>
    <w:rsid w:val="0050163E"/>
    <w:rsid w:val="00501697"/>
    <w:rsid w:val="0050203D"/>
    <w:rsid w:val="005029BC"/>
    <w:rsid w:val="00502C2B"/>
    <w:rsid w:val="0050402A"/>
    <w:rsid w:val="005048F7"/>
    <w:rsid w:val="0050524D"/>
    <w:rsid w:val="005058EE"/>
    <w:rsid w:val="005061C8"/>
    <w:rsid w:val="0050683D"/>
    <w:rsid w:val="00506A52"/>
    <w:rsid w:val="005077BD"/>
    <w:rsid w:val="00507A9E"/>
    <w:rsid w:val="00510FD7"/>
    <w:rsid w:val="00511523"/>
    <w:rsid w:val="00512296"/>
    <w:rsid w:val="005126BC"/>
    <w:rsid w:val="00512E3D"/>
    <w:rsid w:val="005130C3"/>
    <w:rsid w:val="005135DC"/>
    <w:rsid w:val="00513CB5"/>
    <w:rsid w:val="00513FB0"/>
    <w:rsid w:val="00514A66"/>
    <w:rsid w:val="00517124"/>
    <w:rsid w:val="005171EE"/>
    <w:rsid w:val="005173CF"/>
    <w:rsid w:val="0051760C"/>
    <w:rsid w:val="00517DF1"/>
    <w:rsid w:val="00520982"/>
    <w:rsid w:val="00520A5F"/>
    <w:rsid w:val="00521FB4"/>
    <w:rsid w:val="005226F7"/>
    <w:rsid w:val="00525D63"/>
    <w:rsid w:val="0052602D"/>
    <w:rsid w:val="005260E6"/>
    <w:rsid w:val="00526916"/>
    <w:rsid w:val="005269B8"/>
    <w:rsid w:val="00527361"/>
    <w:rsid w:val="00530277"/>
    <w:rsid w:val="00531BC3"/>
    <w:rsid w:val="0053264A"/>
    <w:rsid w:val="00532C0E"/>
    <w:rsid w:val="00533B84"/>
    <w:rsid w:val="00534918"/>
    <w:rsid w:val="00534C93"/>
    <w:rsid w:val="00537FCD"/>
    <w:rsid w:val="0054156E"/>
    <w:rsid w:val="005417FB"/>
    <w:rsid w:val="00541B38"/>
    <w:rsid w:val="00541DA1"/>
    <w:rsid w:val="00543C86"/>
    <w:rsid w:val="00544249"/>
    <w:rsid w:val="005452E5"/>
    <w:rsid w:val="005457AC"/>
    <w:rsid w:val="00545B0B"/>
    <w:rsid w:val="00546806"/>
    <w:rsid w:val="00547A7E"/>
    <w:rsid w:val="00547E4F"/>
    <w:rsid w:val="005501D2"/>
    <w:rsid w:val="005505F2"/>
    <w:rsid w:val="00551EBD"/>
    <w:rsid w:val="00552538"/>
    <w:rsid w:val="005534C2"/>
    <w:rsid w:val="00553729"/>
    <w:rsid w:val="00553832"/>
    <w:rsid w:val="005554CC"/>
    <w:rsid w:val="0055556D"/>
    <w:rsid w:val="00555E1D"/>
    <w:rsid w:val="00555EBF"/>
    <w:rsid w:val="00556917"/>
    <w:rsid w:val="005570FF"/>
    <w:rsid w:val="00557739"/>
    <w:rsid w:val="005579E5"/>
    <w:rsid w:val="00557C9D"/>
    <w:rsid w:val="00557D6B"/>
    <w:rsid w:val="005601F0"/>
    <w:rsid w:val="00560685"/>
    <w:rsid w:val="00560A76"/>
    <w:rsid w:val="0056163C"/>
    <w:rsid w:val="00561A02"/>
    <w:rsid w:val="00561C0C"/>
    <w:rsid w:val="00562207"/>
    <w:rsid w:val="00563ADE"/>
    <w:rsid w:val="00564778"/>
    <w:rsid w:val="0056481D"/>
    <w:rsid w:val="00564F6E"/>
    <w:rsid w:val="00565830"/>
    <w:rsid w:val="00565AE0"/>
    <w:rsid w:val="00565D45"/>
    <w:rsid w:val="00567298"/>
    <w:rsid w:val="005677BC"/>
    <w:rsid w:val="005700A0"/>
    <w:rsid w:val="00570994"/>
    <w:rsid w:val="00571DCE"/>
    <w:rsid w:val="005727CE"/>
    <w:rsid w:val="00572A0C"/>
    <w:rsid w:val="005743F4"/>
    <w:rsid w:val="00574968"/>
    <w:rsid w:val="00574D34"/>
    <w:rsid w:val="005752F4"/>
    <w:rsid w:val="00575903"/>
    <w:rsid w:val="00575DBF"/>
    <w:rsid w:val="005778A2"/>
    <w:rsid w:val="005778F8"/>
    <w:rsid w:val="00582393"/>
    <w:rsid w:val="00582610"/>
    <w:rsid w:val="00582F34"/>
    <w:rsid w:val="005831A4"/>
    <w:rsid w:val="005838C9"/>
    <w:rsid w:val="00583D57"/>
    <w:rsid w:val="00584C08"/>
    <w:rsid w:val="00585203"/>
    <w:rsid w:val="005852C9"/>
    <w:rsid w:val="0058574A"/>
    <w:rsid w:val="00585E43"/>
    <w:rsid w:val="00586B01"/>
    <w:rsid w:val="0058717F"/>
    <w:rsid w:val="00587784"/>
    <w:rsid w:val="005903D7"/>
    <w:rsid w:val="00591048"/>
    <w:rsid w:val="00591568"/>
    <w:rsid w:val="00591752"/>
    <w:rsid w:val="00591973"/>
    <w:rsid w:val="00591ED6"/>
    <w:rsid w:val="005922C5"/>
    <w:rsid w:val="00592671"/>
    <w:rsid w:val="00592A3C"/>
    <w:rsid w:val="00595BB9"/>
    <w:rsid w:val="00596A1D"/>
    <w:rsid w:val="005A041F"/>
    <w:rsid w:val="005A16B2"/>
    <w:rsid w:val="005A1935"/>
    <w:rsid w:val="005A2CD1"/>
    <w:rsid w:val="005A3F30"/>
    <w:rsid w:val="005A46F2"/>
    <w:rsid w:val="005A4EA9"/>
    <w:rsid w:val="005A4EB8"/>
    <w:rsid w:val="005A62F3"/>
    <w:rsid w:val="005A7447"/>
    <w:rsid w:val="005A7585"/>
    <w:rsid w:val="005A7F96"/>
    <w:rsid w:val="005B0201"/>
    <w:rsid w:val="005B0555"/>
    <w:rsid w:val="005B1879"/>
    <w:rsid w:val="005B1F7E"/>
    <w:rsid w:val="005B255A"/>
    <w:rsid w:val="005B3767"/>
    <w:rsid w:val="005B441A"/>
    <w:rsid w:val="005B5083"/>
    <w:rsid w:val="005B515B"/>
    <w:rsid w:val="005B613F"/>
    <w:rsid w:val="005B7216"/>
    <w:rsid w:val="005B77B4"/>
    <w:rsid w:val="005C022F"/>
    <w:rsid w:val="005C16FD"/>
    <w:rsid w:val="005C1BB3"/>
    <w:rsid w:val="005C479F"/>
    <w:rsid w:val="005C507F"/>
    <w:rsid w:val="005C655A"/>
    <w:rsid w:val="005C67B4"/>
    <w:rsid w:val="005C6DD8"/>
    <w:rsid w:val="005C73A0"/>
    <w:rsid w:val="005C73DD"/>
    <w:rsid w:val="005D0147"/>
    <w:rsid w:val="005D02D8"/>
    <w:rsid w:val="005D0DAD"/>
    <w:rsid w:val="005D1307"/>
    <w:rsid w:val="005D1963"/>
    <w:rsid w:val="005D1EC7"/>
    <w:rsid w:val="005D4188"/>
    <w:rsid w:val="005D471E"/>
    <w:rsid w:val="005D523A"/>
    <w:rsid w:val="005D685D"/>
    <w:rsid w:val="005D6AD9"/>
    <w:rsid w:val="005D6F83"/>
    <w:rsid w:val="005D7D04"/>
    <w:rsid w:val="005D7E88"/>
    <w:rsid w:val="005E0263"/>
    <w:rsid w:val="005E132F"/>
    <w:rsid w:val="005E18B1"/>
    <w:rsid w:val="005E2350"/>
    <w:rsid w:val="005E2450"/>
    <w:rsid w:val="005E39FC"/>
    <w:rsid w:val="005E47E3"/>
    <w:rsid w:val="005E48BD"/>
    <w:rsid w:val="005E6148"/>
    <w:rsid w:val="005E66CC"/>
    <w:rsid w:val="005E6B51"/>
    <w:rsid w:val="005E7297"/>
    <w:rsid w:val="005E7414"/>
    <w:rsid w:val="005F077E"/>
    <w:rsid w:val="005F141D"/>
    <w:rsid w:val="005F1421"/>
    <w:rsid w:val="005F15DD"/>
    <w:rsid w:val="005F2A71"/>
    <w:rsid w:val="005F4674"/>
    <w:rsid w:val="005F5BF9"/>
    <w:rsid w:val="005F70F0"/>
    <w:rsid w:val="005F768A"/>
    <w:rsid w:val="0060011D"/>
    <w:rsid w:val="006012DA"/>
    <w:rsid w:val="00601BE7"/>
    <w:rsid w:val="00602556"/>
    <w:rsid w:val="00603DEB"/>
    <w:rsid w:val="0060453D"/>
    <w:rsid w:val="00604CDB"/>
    <w:rsid w:val="0060520D"/>
    <w:rsid w:val="006053B0"/>
    <w:rsid w:val="0060669E"/>
    <w:rsid w:val="006068C8"/>
    <w:rsid w:val="00606D5B"/>
    <w:rsid w:val="00607A27"/>
    <w:rsid w:val="006112F9"/>
    <w:rsid w:val="00611B3A"/>
    <w:rsid w:val="00612047"/>
    <w:rsid w:val="00612323"/>
    <w:rsid w:val="0061250B"/>
    <w:rsid w:val="0061262E"/>
    <w:rsid w:val="00613621"/>
    <w:rsid w:val="00613751"/>
    <w:rsid w:val="00614390"/>
    <w:rsid w:val="0061522F"/>
    <w:rsid w:val="0061550C"/>
    <w:rsid w:val="0061568C"/>
    <w:rsid w:val="0061569D"/>
    <w:rsid w:val="00615EAC"/>
    <w:rsid w:val="00616B41"/>
    <w:rsid w:val="0062100B"/>
    <w:rsid w:val="00621242"/>
    <w:rsid w:val="0062190F"/>
    <w:rsid w:val="00621D20"/>
    <w:rsid w:val="00624542"/>
    <w:rsid w:val="0062496B"/>
    <w:rsid w:val="00625245"/>
    <w:rsid w:val="00625A17"/>
    <w:rsid w:val="00625B90"/>
    <w:rsid w:val="00625C7E"/>
    <w:rsid w:val="0062602A"/>
    <w:rsid w:val="00626537"/>
    <w:rsid w:val="0062767B"/>
    <w:rsid w:val="00627975"/>
    <w:rsid w:val="006306F4"/>
    <w:rsid w:val="0063070C"/>
    <w:rsid w:val="00630CE1"/>
    <w:rsid w:val="00631033"/>
    <w:rsid w:val="00631E41"/>
    <w:rsid w:val="006331B6"/>
    <w:rsid w:val="00634204"/>
    <w:rsid w:val="006348C1"/>
    <w:rsid w:val="00635168"/>
    <w:rsid w:val="006355BD"/>
    <w:rsid w:val="00635B9D"/>
    <w:rsid w:val="00636397"/>
    <w:rsid w:val="00636EC6"/>
    <w:rsid w:val="0063762A"/>
    <w:rsid w:val="00637DB8"/>
    <w:rsid w:val="006413BE"/>
    <w:rsid w:val="00642BCD"/>
    <w:rsid w:val="006433A1"/>
    <w:rsid w:val="006441B7"/>
    <w:rsid w:val="006446F1"/>
    <w:rsid w:val="0064488E"/>
    <w:rsid w:val="00645108"/>
    <w:rsid w:val="006458BA"/>
    <w:rsid w:val="00645A6B"/>
    <w:rsid w:val="006460BF"/>
    <w:rsid w:val="00647A15"/>
    <w:rsid w:val="00647F3E"/>
    <w:rsid w:val="00650218"/>
    <w:rsid w:val="0065075E"/>
    <w:rsid w:val="0065175A"/>
    <w:rsid w:val="0065197F"/>
    <w:rsid w:val="0065307D"/>
    <w:rsid w:val="0065329D"/>
    <w:rsid w:val="0065338F"/>
    <w:rsid w:val="00653A0F"/>
    <w:rsid w:val="00653A60"/>
    <w:rsid w:val="0065668D"/>
    <w:rsid w:val="0065794F"/>
    <w:rsid w:val="00657E4D"/>
    <w:rsid w:val="0066000F"/>
    <w:rsid w:val="00661A7B"/>
    <w:rsid w:val="00661E56"/>
    <w:rsid w:val="00662C6D"/>
    <w:rsid w:val="00662E6E"/>
    <w:rsid w:val="0066303C"/>
    <w:rsid w:val="00663159"/>
    <w:rsid w:val="00663B73"/>
    <w:rsid w:val="00663C00"/>
    <w:rsid w:val="0066597F"/>
    <w:rsid w:val="00666018"/>
    <w:rsid w:val="00670FBD"/>
    <w:rsid w:val="006710E7"/>
    <w:rsid w:val="00671930"/>
    <w:rsid w:val="006722A8"/>
    <w:rsid w:val="006731EA"/>
    <w:rsid w:val="006739A2"/>
    <w:rsid w:val="00674FBB"/>
    <w:rsid w:val="006751D4"/>
    <w:rsid w:val="006759C2"/>
    <w:rsid w:val="00675C42"/>
    <w:rsid w:val="006772FC"/>
    <w:rsid w:val="006778BE"/>
    <w:rsid w:val="0068016F"/>
    <w:rsid w:val="00680887"/>
    <w:rsid w:val="00680C09"/>
    <w:rsid w:val="00680FC9"/>
    <w:rsid w:val="006826FF"/>
    <w:rsid w:val="00682C30"/>
    <w:rsid w:val="00683380"/>
    <w:rsid w:val="006833EF"/>
    <w:rsid w:val="0068352E"/>
    <w:rsid w:val="006835D0"/>
    <w:rsid w:val="006839EF"/>
    <w:rsid w:val="006840D6"/>
    <w:rsid w:val="0068434D"/>
    <w:rsid w:val="00684734"/>
    <w:rsid w:val="0068520F"/>
    <w:rsid w:val="0068550F"/>
    <w:rsid w:val="006859AC"/>
    <w:rsid w:val="00686EF3"/>
    <w:rsid w:val="0069000B"/>
    <w:rsid w:val="00690269"/>
    <w:rsid w:val="00691295"/>
    <w:rsid w:val="006918A9"/>
    <w:rsid w:val="00691C25"/>
    <w:rsid w:val="00691FF7"/>
    <w:rsid w:val="00693119"/>
    <w:rsid w:val="0069313A"/>
    <w:rsid w:val="006935D4"/>
    <w:rsid w:val="00693A38"/>
    <w:rsid w:val="00694BC8"/>
    <w:rsid w:val="00694F0B"/>
    <w:rsid w:val="00694F6F"/>
    <w:rsid w:val="006952C2"/>
    <w:rsid w:val="006957BD"/>
    <w:rsid w:val="00695CBA"/>
    <w:rsid w:val="00697CA8"/>
    <w:rsid w:val="006A0EE5"/>
    <w:rsid w:val="006A1C23"/>
    <w:rsid w:val="006A475A"/>
    <w:rsid w:val="006A6E07"/>
    <w:rsid w:val="006B0BEB"/>
    <w:rsid w:val="006B19A4"/>
    <w:rsid w:val="006B1E9B"/>
    <w:rsid w:val="006B1F85"/>
    <w:rsid w:val="006B24D1"/>
    <w:rsid w:val="006B3920"/>
    <w:rsid w:val="006B3C74"/>
    <w:rsid w:val="006B4042"/>
    <w:rsid w:val="006B4D64"/>
    <w:rsid w:val="006B4F1A"/>
    <w:rsid w:val="006B558C"/>
    <w:rsid w:val="006B6381"/>
    <w:rsid w:val="006B672D"/>
    <w:rsid w:val="006B723B"/>
    <w:rsid w:val="006B74BD"/>
    <w:rsid w:val="006C0AAD"/>
    <w:rsid w:val="006C125C"/>
    <w:rsid w:val="006C14B0"/>
    <w:rsid w:val="006C1694"/>
    <w:rsid w:val="006C19B2"/>
    <w:rsid w:val="006C1C19"/>
    <w:rsid w:val="006C2556"/>
    <w:rsid w:val="006C3990"/>
    <w:rsid w:val="006C3D6B"/>
    <w:rsid w:val="006C3E18"/>
    <w:rsid w:val="006C4390"/>
    <w:rsid w:val="006C48C4"/>
    <w:rsid w:val="006C4DED"/>
    <w:rsid w:val="006C6716"/>
    <w:rsid w:val="006C6850"/>
    <w:rsid w:val="006C6F4F"/>
    <w:rsid w:val="006D086D"/>
    <w:rsid w:val="006D1ABF"/>
    <w:rsid w:val="006D2369"/>
    <w:rsid w:val="006D29B7"/>
    <w:rsid w:val="006D335E"/>
    <w:rsid w:val="006D4134"/>
    <w:rsid w:val="006D4B75"/>
    <w:rsid w:val="006D50BE"/>
    <w:rsid w:val="006D6720"/>
    <w:rsid w:val="006D7381"/>
    <w:rsid w:val="006E03F7"/>
    <w:rsid w:val="006E073A"/>
    <w:rsid w:val="006E2558"/>
    <w:rsid w:val="006E265E"/>
    <w:rsid w:val="006E4629"/>
    <w:rsid w:val="006E48FA"/>
    <w:rsid w:val="006E4BEF"/>
    <w:rsid w:val="006E5019"/>
    <w:rsid w:val="006E56C8"/>
    <w:rsid w:val="006E57D9"/>
    <w:rsid w:val="006E5B23"/>
    <w:rsid w:val="006E6232"/>
    <w:rsid w:val="006E66DF"/>
    <w:rsid w:val="006E6961"/>
    <w:rsid w:val="006E7605"/>
    <w:rsid w:val="006E7D10"/>
    <w:rsid w:val="006F0401"/>
    <w:rsid w:val="006F122A"/>
    <w:rsid w:val="006F1DDB"/>
    <w:rsid w:val="006F205A"/>
    <w:rsid w:val="006F2B4E"/>
    <w:rsid w:val="006F35A8"/>
    <w:rsid w:val="006F39AD"/>
    <w:rsid w:val="006F3F93"/>
    <w:rsid w:val="006F41A1"/>
    <w:rsid w:val="006F59C8"/>
    <w:rsid w:val="006F6325"/>
    <w:rsid w:val="006F6714"/>
    <w:rsid w:val="006F6DCC"/>
    <w:rsid w:val="00700114"/>
    <w:rsid w:val="00700871"/>
    <w:rsid w:val="00702052"/>
    <w:rsid w:val="00702501"/>
    <w:rsid w:val="0070306C"/>
    <w:rsid w:val="0070368B"/>
    <w:rsid w:val="0070395C"/>
    <w:rsid w:val="00703A2C"/>
    <w:rsid w:val="007041F9"/>
    <w:rsid w:val="0070434D"/>
    <w:rsid w:val="007045F9"/>
    <w:rsid w:val="007050AB"/>
    <w:rsid w:val="00705C52"/>
    <w:rsid w:val="00705F7F"/>
    <w:rsid w:val="007062A1"/>
    <w:rsid w:val="007063A3"/>
    <w:rsid w:val="00706868"/>
    <w:rsid w:val="007079FD"/>
    <w:rsid w:val="0071086F"/>
    <w:rsid w:val="0071098F"/>
    <w:rsid w:val="00710F37"/>
    <w:rsid w:val="00712081"/>
    <w:rsid w:val="00712405"/>
    <w:rsid w:val="00713713"/>
    <w:rsid w:val="00713941"/>
    <w:rsid w:val="007143FB"/>
    <w:rsid w:val="00716092"/>
    <w:rsid w:val="0071614D"/>
    <w:rsid w:val="00720292"/>
    <w:rsid w:val="00720399"/>
    <w:rsid w:val="0072233E"/>
    <w:rsid w:val="0072274C"/>
    <w:rsid w:val="00722F46"/>
    <w:rsid w:val="00722FD2"/>
    <w:rsid w:val="0072502F"/>
    <w:rsid w:val="00730914"/>
    <w:rsid w:val="00730E68"/>
    <w:rsid w:val="0073155F"/>
    <w:rsid w:val="00731ABE"/>
    <w:rsid w:val="007325B4"/>
    <w:rsid w:val="00732B59"/>
    <w:rsid w:val="00733D0B"/>
    <w:rsid w:val="00733F1F"/>
    <w:rsid w:val="007346D8"/>
    <w:rsid w:val="0073643D"/>
    <w:rsid w:val="007370B6"/>
    <w:rsid w:val="00740BC1"/>
    <w:rsid w:val="00741C61"/>
    <w:rsid w:val="00743126"/>
    <w:rsid w:val="007434F8"/>
    <w:rsid w:val="00744869"/>
    <w:rsid w:val="00745D18"/>
    <w:rsid w:val="00746814"/>
    <w:rsid w:val="00746E20"/>
    <w:rsid w:val="0074709E"/>
    <w:rsid w:val="00747443"/>
    <w:rsid w:val="007477A3"/>
    <w:rsid w:val="0074789B"/>
    <w:rsid w:val="007504A9"/>
    <w:rsid w:val="00750C47"/>
    <w:rsid w:val="00752882"/>
    <w:rsid w:val="00752E32"/>
    <w:rsid w:val="0075345E"/>
    <w:rsid w:val="00753B8C"/>
    <w:rsid w:val="00753C3E"/>
    <w:rsid w:val="00754BFE"/>
    <w:rsid w:val="007551BC"/>
    <w:rsid w:val="00755313"/>
    <w:rsid w:val="00755E9F"/>
    <w:rsid w:val="00757141"/>
    <w:rsid w:val="00757EA8"/>
    <w:rsid w:val="007602EC"/>
    <w:rsid w:val="007633C2"/>
    <w:rsid w:val="00763880"/>
    <w:rsid w:val="007649F8"/>
    <w:rsid w:val="00764E32"/>
    <w:rsid w:val="00764EFA"/>
    <w:rsid w:val="00765454"/>
    <w:rsid w:val="007654FB"/>
    <w:rsid w:val="007706ED"/>
    <w:rsid w:val="00770A71"/>
    <w:rsid w:val="00773D77"/>
    <w:rsid w:val="00774A8E"/>
    <w:rsid w:val="00774DF0"/>
    <w:rsid w:val="00774F03"/>
    <w:rsid w:val="00775DB2"/>
    <w:rsid w:val="0077608B"/>
    <w:rsid w:val="007766CC"/>
    <w:rsid w:val="007768FF"/>
    <w:rsid w:val="00777365"/>
    <w:rsid w:val="00777405"/>
    <w:rsid w:val="00777527"/>
    <w:rsid w:val="007775C2"/>
    <w:rsid w:val="00777E81"/>
    <w:rsid w:val="007807EF"/>
    <w:rsid w:val="00781B06"/>
    <w:rsid w:val="0078307C"/>
    <w:rsid w:val="0078455B"/>
    <w:rsid w:val="00785268"/>
    <w:rsid w:val="0078551D"/>
    <w:rsid w:val="007863CA"/>
    <w:rsid w:val="00786C8D"/>
    <w:rsid w:val="00787B45"/>
    <w:rsid w:val="00787E38"/>
    <w:rsid w:val="00790A16"/>
    <w:rsid w:val="00790D3E"/>
    <w:rsid w:val="00790D82"/>
    <w:rsid w:val="00792AA4"/>
    <w:rsid w:val="00793349"/>
    <w:rsid w:val="00794121"/>
    <w:rsid w:val="0079502A"/>
    <w:rsid w:val="0079514C"/>
    <w:rsid w:val="007958B1"/>
    <w:rsid w:val="00795ADC"/>
    <w:rsid w:val="00795F67"/>
    <w:rsid w:val="00795FE9"/>
    <w:rsid w:val="00796C05"/>
    <w:rsid w:val="00797AD9"/>
    <w:rsid w:val="00797FAF"/>
    <w:rsid w:val="007A01BF"/>
    <w:rsid w:val="007A0797"/>
    <w:rsid w:val="007A07E4"/>
    <w:rsid w:val="007A2B3A"/>
    <w:rsid w:val="007A2BE0"/>
    <w:rsid w:val="007A2F04"/>
    <w:rsid w:val="007A3BA0"/>
    <w:rsid w:val="007A5843"/>
    <w:rsid w:val="007A6053"/>
    <w:rsid w:val="007A67EA"/>
    <w:rsid w:val="007A754C"/>
    <w:rsid w:val="007A7BD8"/>
    <w:rsid w:val="007B0752"/>
    <w:rsid w:val="007B1445"/>
    <w:rsid w:val="007B18A7"/>
    <w:rsid w:val="007B2217"/>
    <w:rsid w:val="007B23EE"/>
    <w:rsid w:val="007B2616"/>
    <w:rsid w:val="007B288E"/>
    <w:rsid w:val="007B2F3C"/>
    <w:rsid w:val="007B3A13"/>
    <w:rsid w:val="007B405C"/>
    <w:rsid w:val="007B4174"/>
    <w:rsid w:val="007B431E"/>
    <w:rsid w:val="007B46B7"/>
    <w:rsid w:val="007B4771"/>
    <w:rsid w:val="007B47D1"/>
    <w:rsid w:val="007B5253"/>
    <w:rsid w:val="007B6EAE"/>
    <w:rsid w:val="007B743C"/>
    <w:rsid w:val="007B7A3A"/>
    <w:rsid w:val="007C0283"/>
    <w:rsid w:val="007C180A"/>
    <w:rsid w:val="007C273D"/>
    <w:rsid w:val="007C29C8"/>
    <w:rsid w:val="007C2B33"/>
    <w:rsid w:val="007C3636"/>
    <w:rsid w:val="007C4DA9"/>
    <w:rsid w:val="007C5E21"/>
    <w:rsid w:val="007C5EFC"/>
    <w:rsid w:val="007C66D6"/>
    <w:rsid w:val="007C66E7"/>
    <w:rsid w:val="007C6C7E"/>
    <w:rsid w:val="007C6F5C"/>
    <w:rsid w:val="007C7ED8"/>
    <w:rsid w:val="007D0563"/>
    <w:rsid w:val="007D0CED"/>
    <w:rsid w:val="007D12D0"/>
    <w:rsid w:val="007D20E0"/>
    <w:rsid w:val="007D36F7"/>
    <w:rsid w:val="007D3832"/>
    <w:rsid w:val="007D3F3B"/>
    <w:rsid w:val="007D4779"/>
    <w:rsid w:val="007D53EF"/>
    <w:rsid w:val="007D55E1"/>
    <w:rsid w:val="007D591A"/>
    <w:rsid w:val="007D6757"/>
    <w:rsid w:val="007D6CE7"/>
    <w:rsid w:val="007E130E"/>
    <w:rsid w:val="007E1A1F"/>
    <w:rsid w:val="007E212D"/>
    <w:rsid w:val="007E25B0"/>
    <w:rsid w:val="007E2E20"/>
    <w:rsid w:val="007E3EE6"/>
    <w:rsid w:val="007E4A8B"/>
    <w:rsid w:val="007E4E86"/>
    <w:rsid w:val="007E5951"/>
    <w:rsid w:val="007E68A6"/>
    <w:rsid w:val="007E6DE9"/>
    <w:rsid w:val="007E7B67"/>
    <w:rsid w:val="007F032A"/>
    <w:rsid w:val="007F05F4"/>
    <w:rsid w:val="007F0F01"/>
    <w:rsid w:val="007F2255"/>
    <w:rsid w:val="007F2912"/>
    <w:rsid w:val="007F3651"/>
    <w:rsid w:val="007F563B"/>
    <w:rsid w:val="007F56D0"/>
    <w:rsid w:val="007F5714"/>
    <w:rsid w:val="007F6327"/>
    <w:rsid w:val="007F656B"/>
    <w:rsid w:val="007F6BA5"/>
    <w:rsid w:val="007F7A2C"/>
    <w:rsid w:val="00800533"/>
    <w:rsid w:val="00800C1D"/>
    <w:rsid w:val="0080102D"/>
    <w:rsid w:val="00801A44"/>
    <w:rsid w:val="00801A62"/>
    <w:rsid w:val="00801E1A"/>
    <w:rsid w:val="00803569"/>
    <w:rsid w:val="008035D9"/>
    <w:rsid w:val="00803806"/>
    <w:rsid w:val="00803971"/>
    <w:rsid w:val="008047CE"/>
    <w:rsid w:val="008052DA"/>
    <w:rsid w:val="00805355"/>
    <w:rsid w:val="00806139"/>
    <w:rsid w:val="008069D7"/>
    <w:rsid w:val="00807A18"/>
    <w:rsid w:val="008103C5"/>
    <w:rsid w:val="00810754"/>
    <w:rsid w:val="00810EAE"/>
    <w:rsid w:val="00811347"/>
    <w:rsid w:val="00813181"/>
    <w:rsid w:val="0081341F"/>
    <w:rsid w:val="00814CFA"/>
    <w:rsid w:val="00816634"/>
    <w:rsid w:val="00816ACC"/>
    <w:rsid w:val="00817298"/>
    <w:rsid w:val="00820C04"/>
    <w:rsid w:val="00821903"/>
    <w:rsid w:val="00821FB8"/>
    <w:rsid w:val="00822358"/>
    <w:rsid w:val="008230BC"/>
    <w:rsid w:val="00824539"/>
    <w:rsid w:val="00824782"/>
    <w:rsid w:val="00825A58"/>
    <w:rsid w:val="00825B3F"/>
    <w:rsid w:val="00825D1C"/>
    <w:rsid w:val="00826271"/>
    <w:rsid w:val="0082685F"/>
    <w:rsid w:val="008275DE"/>
    <w:rsid w:val="00830637"/>
    <w:rsid w:val="00830F97"/>
    <w:rsid w:val="008310C0"/>
    <w:rsid w:val="00831ACA"/>
    <w:rsid w:val="00832098"/>
    <w:rsid w:val="00832396"/>
    <w:rsid w:val="0083265D"/>
    <w:rsid w:val="00835787"/>
    <w:rsid w:val="0083624D"/>
    <w:rsid w:val="00837F77"/>
    <w:rsid w:val="00840331"/>
    <w:rsid w:val="00840E94"/>
    <w:rsid w:val="00841550"/>
    <w:rsid w:val="008416C6"/>
    <w:rsid w:val="008428ED"/>
    <w:rsid w:val="008429A7"/>
    <w:rsid w:val="00842D5B"/>
    <w:rsid w:val="00842D8B"/>
    <w:rsid w:val="00842EF5"/>
    <w:rsid w:val="0084599C"/>
    <w:rsid w:val="00846FF6"/>
    <w:rsid w:val="00847EDC"/>
    <w:rsid w:val="00850774"/>
    <w:rsid w:val="00851B30"/>
    <w:rsid w:val="0085225E"/>
    <w:rsid w:val="00852D92"/>
    <w:rsid w:val="00854487"/>
    <w:rsid w:val="00856931"/>
    <w:rsid w:val="00857291"/>
    <w:rsid w:val="00857639"/>
    <w:rsid w:val="008617BD"/>
    <w:rsid w:val="00863887"/>
    <w:rsid w:val="008644CD"/>
    <w:rsid w:val="0086477F"/>
    <w:rsid w:val="00865FC4"/>
    <w:rsid w:val="00866AB0"/>
    <w:rsid w:val="008671D0"/>
    <w:rsid w:val="0086722D"/>
    <w:rsid w:val="008673FF"/>
    <w:rsid w:val="0087082E"/>
    <w:rsid w:val="00872713"/>
    <w:rsid w:val="00873F9B"/>
    <w:rsid w:val="0087546A"/>
    <w:rsid w:val="008764A8"/>
    <w:rsid w:val="00876E53"/>
    <w:rsid w:val="008771B6"/>
    <w:rsid w:val="00877716"/>
    <w:rsid w:val="00877BAB"/>
    <w:rsid w:val="0088000D"/>
    <w:rsid w:val="00881E24"/>
    <w:rsid w:val="0088239A"/>
    <w:rsid w:val="00882BE0"/>
    <w:rsid w:val="00882D6E"/>
    <w:rsid w:val="00883390"/>
    <w:rsid w:val="00883700"/>
    <w:rsid w:val="00883BAD"/>
    <w:rsid w:val="00883D0E"/>
    <w:rsid w:val="00884086"/>
    <w:rsid w:val="008843EE"/>
    <w:rsid w:val="008849CE"/>
    <w:rsid w:val="00884AEF"/>
    <w:rsid w:val="00884CC1"/>
    <w:rsid w:val="00884E20"/>
    <w:rsid w:val="00887F41"/>
    <w:rsid w:val="00890AA0"/>
    <w:rsid w:val="00890EA4"/>
    <w:rsid w:val="00892B73"/>
    <w:rsid w:val="00893066"/>
    <w:rsid w:val="008940EA"/>
    <w:rsid w:val="00894290"/>
    <w:rsid w:val="00894385"/>
    <w:rsid w:val="008953D4"/>
    <w:rsid w:val="00895F1C"/>
    <w:rsid w:val="0089651E"/>
    <w:rsid w:val="00897679"/>
    <w:rsid w:val="008A0B5D"/>
    <w:rsid w:val="008A116B"/>
    <w:rsid w:val="008A1875"/>
    <w:rsid w:val="008A1D7D"/>
    <w:rsid w:val="008A2D2D"/>
    <w:rsid w:val="008A360B"/>
    <w:rsid w:val="008A490F"/>
    <w:rsid w:val="008A53FD"/>
    <w:rsid w:val="008A5CD1"/>
    <w:rsid w:val="008A5CEE"/>
    <w:rsid w:val="008A5EE6"/>
    <w:rsid w:val="008A75FF"/>
    <w:rsid w:val="008A7D85"/>
    <w:rsid w:val="008B178A"/>
    <w:rsid w:val="008B3439"/>
    <w:rsid w:val="008B404A"/>
    <w:rsid w:val="008B475E"/>
    <w:rsid w:val="008B5400"/>
    <w:rsid w:val="008B547D"/>
    <w:rsid w:val="008B5FF4"/>
    <w:rsid w:val="008B6272"/>
    <w:rsid w:val="008B6A5F"/>
    <w:rsid w:val="008B6ADC"/>
    <w:rsid w:val="008B6F9C"/>
    <w:rsid w:val="008B73C2"/>
    <w:rsid w:val="008C0091"/>
    <w:rsid w:val="008C07C3"/>
    <w:rsid w:val="008C099A"/>
    <w:rsid w:val="008C19AE"/>
    <w:rsid w:val="008C1C6C"/>
    <w:rsid w:val="008C2B02"/>
    <w:rsid w:val="008C38BF"/>
    <w:rsid w:val="008C412D"/>
    <w:rsid w:val="008C46E1"/>
    <w:rsid w:val="008C594F"/>
    <w:rsid w:val="008C5BFD"/>
    <w:rsid w:val="008C653C"/>
    <w:rsid w:val="008C68E4"/>
    <w:rsid w:val="008C7215"/>
    <w:rsid w:val="008C77C6"/>
    <w:rsid w:val="008C7AB0"/>
    <w:rsid w:val="008C7E47"/>
    <w:rsid w:val="008D0B96"/>
    <w:rsid w:val="008D1162"/>
    <w:rsid w:val="008D2A00"/>
    <w:rsid w:val="008D41F2"/>
    <w:rsid w:val="008D4234"/>
    <w:rsid w:val="008D4926"/>
    <w:rsid w:val="008D5624"/>
    <w:rsid w:val="008D5694"/>
    <w:rsid w:val="008D61A2"/>
    <w:rsid w:val="008D61F3"/>
    <w:rsid w:val="008D622A"/>
    <w:rsid w:val="008D78C3"/>
    <w:rsid w:val="008D7B9F"/>
    <w:rsid w:val="008E0023"/>
    <w:rsid w:val="008E055D"/>
    <w:rsid w:val="008E09DD"/>
    <w:rsid w:val="008E1579"/>
    <w:rsid w:val="008E23D5"/>
    <w:rsid w:val="008E3162"/>
    <w:rsid w:val="008E41DC"/>
    <w:rsid w:val="008E512A"/>
    <w:rsid w:val="008F0B3E"/>
    <w:rsid w:val="008F4897"/>
    <w:rsid w:val="008F4905"/>
    <w:rsid w:val="008F5180"/>
    <w:rsid w:val="008F6483"/>
    <w:rsid w:val="008F6D33"/>
    <w:rsid w:val="00901027"/>
    <w:rsid w:val="00901F70"/>
    <w:rsid w:val="00903060"/>
    <w:rsid w:val="00903AE2"/>
    <w:rsid w:val="009054BD"/>
    <w:rsid w:val="00905A47"/>
    <w:rsid w:val="0090678A"/>
    <w:rsid w:val="00906D07"/>
    <w:rsid w:val="00907677"/>
    <w:rsid w:val="0091145C"/>
    <w:rsid w:val="00913266"/>
    <w:rsid w:val="00915873"/>
    <w:rsid w:val="009160C8"/>
    <w:rsid w:val="00916511"/>
    <w:rsid w:val="00916E58"/>
    <w:rsid w:val="009171D5"/>
    <w:rsid w:val="0091751C"/>
    <w:rsid w:val="009209FD"/>
    <w:rsid w:val="00922D20"/>
    <w:rsid w:val="00923AF9"/>
    <w:rsid w:val="009247D5"/>
    <w:rsid w:val="00924890"/>
    <w:rsid w:val="009258A3"/>
    <w:rsid w:val="00925D0F"/>
    <w:rsid w:val="00925D57"/>
    <w:rsid w:val="00925E17"/>
    <w:rsid w:val="00926767"/>
    <w:rsid w:val="00927842"/>
    <w:rsid w:val="0092795F"/>
    <w:rsid w:val="0093013B"/>
    <w:rsid w:val="00930C38"/>
    <w:rsid w:val="00930EE6"/>
    <w:rsid w:val="009316E4"/>
    <w:rsid w:val="00932110"/>
    <w:rsid w:val="009334FD"/>
    <w:rsid w:val="009355F8"/>
    <w:rsid w:val="009359D8"/>
    <w:rsid w:val="00935ADB"/>
    <w:rsid w:val="00937B6F"/>
    <w:rsid w:val="00940EF0"/>
    <w:rsid w:val="00941018"/>
    <w:rsid w:val="00941459"/>
    <w:rsid w:val="00941600"/>
    <w:rsid w:val="009424BD"/>
    <w:rsid w:val="00943224"/>
    <w:rsid w:val="00944120"/>
    <w:rsid w:val="0094488A"/>
    <w:rsid w:val="00946165"/>
    <w:rsid w:val="00946715"/>
    <w:rsid w:val="00947AA8"/>
    <w:rsid w:val="0095047B"/>
    <w:rsid w:val="00951CD2"/>
    <w:rsid w:val="00951E56"/>
    <w:rsid w:val="00953A72"/>
    <w:rsid w:val="009548BA"/>
    <w:rsid w:val="009550D7"/>
    <w:rsid w:val="0095719C"/>
    <w:rsid w:val="009575B2"/>
    <w:rsid w:val="009579CB"/>
    <w:rsid w:val="0096210B"/>
    <w:rsid w:val="00962217"/>
    <w:rsid w:val="00962545"/>
    <w:rsid w:val="00963883"/>
    <w:rsid w:val="009641BC"/>
    <w:rsid w:val="0096497B"/>
    <w:rsid w:val="00965A04"/>
    <w:rsid w:val="00966561"/>
    <w:rsid w:val="0096730A"/>
    <w:rsid w:val="009675B0"/>
    <w:rsid w:val="00967838"/>
    <w:rsid w:val="00970444"/>
    <w:rsid w:val="009736EA"/>
    <w:rsid w:val="0097441F"/>
    <w:rsid w:val="00974918"/>
    <w:rsid w:val="00975AA6"/>
    <w:rsid w:val="00975FCC"/>
    <w:rsid w:val="00980240"/>
    <w:rsid w:val="009804BF"/>
    <w:rsid w:val="0098120F"/>
    <w:rsid w:val="009814DF"/>
    <w:rsid w:val="00981BFE"/>
    <w:rsid w:val="00981E71"/>
    <w:rsid w:val="00981FA1"/>
    <w:rsid w:val="0098282B"/>
    <w:rsid w:val="00982C71"/>
    <w:rsid w:val="009841C9"/>
    <w:rsid w:val="009848BA"/>
    <w:rsid w:val="00985603"/>
    <w:rsid w:val="009858AC"/>
    <w:rsid w:val="009872A2"/>
    <w:rsid w:val="0099015C"/>
    <w:rsid w:val="00990918"/>
    <w:rsid w:val="00991A8E"/>
    <w:rsid w:val="00992553"/>
    <w:rsid w:val="009959F0"/>
    <w:rsid w:val="0099623A"/>
    <w:rsid w:val="00996CBF"/>
    <w:rsid w:val="009A05A3"/>
    <w:rsid w:val="009A0ED9"/>
    <w:rsid w:val="009A151D"/>
    <w:rsid w:val="009A233D"/>
    <w:rsid w:val="009A2349"/>
    <w:rsid w:val="009A279E"/>
    <w:rsid w:val="009A3538"/>
    <w:rsid w:val="009A44F8"/>
    <w:rsid w:val="009A5150"/>
    <w:rsid w:val="009A52BD"/>
    <w:rsid w:val="009A6403"/>
    <w:rsid w:val="009A6783"/>
    <w:rsid w:val="009A6881"/>
    <w:rsid w:val="009A7110"/>
    <w:rsid w:val="009A788B"/>
    <w:rsid w:val="009A7C1E"/>
    <w:rsid w:val="009B0058"/>
    <w:rsid w:val="009B02A5"/>
    <w:rsid w:val="009B0601"/>
    <w:rsid w:val="009B0E6F"/>
    <w:rsid w:val="009B1177"/>
    <w:rsid w:val="009B12D1"/>
    <w:rsid w:val="009B14CA"/>
    <w:rsid w:val="009B1932"/>
    <w:rsid w:val="009B1E46"/>
    <w:rsid w:val="009B1EC4"/>
    <w:rsid w:val="009B2884"/>
    <w:rsid w:val="009B2FAB"/>
    <w:rsid w:val="009B3020"/>
    <w:rsid w:val="009B3141"/>
    <w:rsid w:val="009B3B00"/>
    <w:rsid w:val="009B4064"/>
    <w:rsid w:val="009B4147"/>
    <w:rsid w:val="009B44B6"/>
    <w:rsid w:val="009B52E1"/>
    <w:rsid w:val="009B58EC"/>
    <w:rsid w:val="009B63B6"/>
    <w:rsid w:val="009B71AF"/>
    <w:rsid w:val="009B7E1A"/>
    <w:rsid w:val="009C0133"/>
    <w:rsid w:val="009C03E9"/>
    <w:rsid w:val="009C0670"/>
    <w:rsid w:val="009C0BE7"/>
    <w:rsid w:val="009C0D74"/>
    <w:rsid w:val="009C191C"/>
    <w:rsid w:val="009C33B0"/>
    <w:rsid w:val="009C3EA3"/>
    <w:rsid w:val="009C503E"/>
    <w:rsid w:val="009C5AD6"/>
    <w:rsid w:val="009C6676"/>
    <w:rsid w:val="009C66AD"/>
    <w:rsid w:val="009C7820"/>
    <w:rsid w:val="009D062C"/>
    <w:rsid w:val="009D0844"/>
    <w:rsid w:val="009D1309"/>
    <w:rsid w:val="009D17DC"/>
    <w:rsid w:val="009D2EC6"/>
    <w:rsid w:val="009D306F"/>
    <w:rsid w:val="009D4C16"/>
    <w:rsid w:val="009D57A2"/>
    <w:rsid w:val="009D60EE"/>
    <w:rsid w:val="009D653F"/>
    <w:rsid w:val="009D7167"/>
    <w:rsid w:val="009E02A5"/>
    <w:rsid w:val="009E0A77"/>
    <w:rsid w:val="009E0EB2"/>
    <w:rsid w:val="009E1D7F"/>
    <w:rsid w:val="009E4226"/>
    <w:rsid w:val="009E4FD8"/>
    <w:rsid w:val="009E50B2"/>
    <w:rsid w:val="009E6131"/>
    <w:rsid w:val="009E72CA"/>
    <w:rsid w:val="009E7CA9"/>
    <w:rsid w:val="009F1196"/>
    <w:rsid w:val="009F1B5E"/>
    <w:rsid w:val="009F2620"/>
    <w:rsid w:val="009F4682"/>
    <w:rsid w:val="009F524C"/>
    <w:rsid w:val="009F6309"/>
    <w:rsid w:val="00A0033B"/>
    <w:rsid w:val="00A00F64"/>
    <w:rsid w:val="00A00FDE"/>
    <w:rsid w:val="00A02316"/>
    <w:rsid w:val="00A028D1"/>
    <w:rsid w:val="00A03379"/>
    <w:rsid w:val="00A04B4A"/>
    <w:rsid w:val="00A055F1"/>
    <w:rsid w:val="00A05C0A"/>
    <w:rsid w:val="00A06C20"/>
    <w:rsid w:val="00A077C0"/>
    <w:rsid w:val="00A1042C"/>
    <w:rsid w:val="00A10B94"/>
    <w:rsid w:val="00A12779"/>
    <w:rsid w:val="00A13870"/>
    <w:rsid w:val="00A14B89"/>
    <w:rsid w:val="00A14FED"/>
    <w:rsid w:val="00A151C7"/>
    <w:rsid w:val="00A15DB0"/>
    <w:rsid w:val="00A162D4"/>
    <w:rsid w:val="00A168F1"/>
    <w:rsid w:val="00A1726A"/>
    <w:rsid w:val="00A17937"/>
    <w:rsid w:val="00A17F7F"/>
    <w:rsid w:val="00A213EC"/>
    <w:rsid w:val="00A214EB"/>
    <w:rsid w:val="00A21592"/>
    <w:rsid w:val="00A21DF7"/>
    <w:rsid w:val="00A2247E"/>
    <w:rsid w:val="00A23465"/>
    <w:rsid w:val="00A23F00"/>
    <w:rsid w:val="00A23FEF"/>
    <w:rsid w:val="00A24FBF"/>
    <w:rsid w:val="00A258C3"/>
    <w:rsid w:val="00A258EB"/>
    <w:rsid w:val="00A25ECE"/>
    <w:rsid w:val="00A266E6"/>
    <w:rsid w:val="00A26B51"/>
    <w:rsid w:val="00A2757F"/>
    <w:rsid w:val="00A31205"/>
    <w:rsid w:val="00A3132C"/>
    <w:rsid w:val="00A323DE"/>
    <w:rsid w:val="00A3268C"/>
    <w:rsid w:val="00A34240"/>
    <w:rsid w:val="00A351BD"/>
    <w:rsid w:val="00A3558A"/>
    <w:rsid w:val="00A36745"/>
    <w:rsid w:val="00A376A2"/>
    <w:rsid w:val="00A404BA"/>
    <w:rsid w:val="00A405E9"/>
    <w:rsid w:val="00A40AD1"/>
    <w:rsid w:val="00A41873"/>
    <w:rsid w:val="00A43A71"/>
    <w:rsid w:val="00A43ED0"/>
    <w:rsid w:val="00A4406B"/>
    <w:rsid w:val="00A44FAB"/>
    <w:rsid w:val="00A45777"/>
    <w:rsid w:val="00A46A23"/>
    <w:rsid w:val="00A46B32"/>
    <w:rsid w:val="00A46C2B"/>
    <w:rsid w:val="00A46CE1"/>
    <w:rsid w:val="00A470D5"/>
    <w:rsid w:val="00A4793F"/>
    <w:rsid w:val="00A502E2"/>
    <w:rsid w:val="00A50763"/>
    <w:rsid w:val="00A5379B"/>
    <w:rsid w:val="00A54E30"/>
    <w:rsid w:val="00A55A20"/>
    <w:rsid w:val="00A55AB8"/>
    <w:rsid w:val="00A56D35"/>
    <w:rsid w:val="00A56EA6"/>
    <w:rsid w:val="00A576ED"/>
    <w:rsid w:val="00A602D8"/>
    <w:rsid w:val="00A618E4"/>
    <w:rsid w:val="00A61FA6"/>
    <w:rsid w:val="00A62774"/>
    <w:rsid w:val="00A62DDE"/>
    <w:rsid w:val="00A632A6"/>
    <w:rsid w:val="00A63A6E"/>
    <w:rsid w:val="00A64DDF"/>
    <w:rsid w:val="00A67B3C"/>
    <w:rsid w:val="00A67CF3"/>
    <w:rsid w:val="00A71AB6"/>
    <w:rsid w:val="00A740B9"/>
    <w:rsid w:val="00A74640"/>
    <w:rsid w:val="00A746D0"/>
    <w:rsid w:val="00A74CFD"/>
    <w:rsid w:val="00A76FCB"/>
    <w:rsid w:val="00A774C7"/>
    <w:rsid w:val="00A80190"/>
    <w:rsid w:val="00A806EA"/>
    <w:rsid w:val="00A81072"/>
    <w:rsid w:val="00A818D2"/>
    <w:rsid w:val="00A81E4F"/>
    <w:rsid w:val="00A82B03"/>
    <w:rsid w:val="00A8308F"/>
    <w:rsid w:val="00A832B1"/>
    <w:rsid w:val="00A832D6"/>
    <w:rsid w:val="00A834B7"/>
    <w:rsid w:val="00A8376E"/>
    <w:rsid w:val="00A83F70"/>
    <w:rsid w:val="00A8475F"/>
    <w:rsid w:val="00A85F15"/>
    <w:rsid w:val="00A86A72"/>
    <w:rsid w:val="00A86DE7"/>
    <w:rsid w:val="00A87294"/>
    <w:rsid w:val="00A87E33"/>
    <w:rsid w:val="00A9042F"/>
    <w:rsid w:val="00A912A6"/>
    <w:rsid w:val="00A91765"/>
    <w:rsid w:val="00A91A26"/>
    <w:rsid w:val="00A92008"/>
    <w:rsid w:val="00A934BE"/>
    <w:rsid w:val="00A9540E"/>
    <w:rsid w:val="00A96927"/>
    <w:rsid w:val="00AA06DF"/>
    <w:rsid w:val="00AA128A"/>
    <w:rsid w:val="00AA1CCA"/>
    <w:rsid w:val="00AA1E85"/>
    <w:rsid w:val="00AA22BC"/>
    <w:rsid w:val="00AA37C0"/>
    <w:rsid w:val="00AA50A5"/>
    <w:rsid w:val="00AA592B"/>
    <w:rsid w:val="00AA5F61"/>
    <w:rsid w:val="00AA6493"/>
    <w:rsid w:val="00AA704F"/>
    <w:rsid w:val="00AA72BA"/>
    <w:rsid w:val="00AB0651"/>
    <w:rsid w:val="00AB3730"/>
    <w:rsid w:val="00AB4B0E"/>
    <w:rsid w:val="00AB55C3"/>
    <w:rsid w:val="00AB77C4"/>
    <w:rsid w:val="00AB7C19"/>
    <w:rsid w:val="00AC0533"/>
    <w:rsid w:val="00AC0818"/>
    <w:rsid w:val="00AC2083"/>
    <w:rsid w:val="00AC261A"/>
    <w:rsid w:val="00AC32CA"/>
    <w:rsid w:val="00AC39A3"/>
    <w:rsid w:val="00AC4BBD"/>
    <w:rsid w:val="00AC73B4"/>
    <w:rsid w:val="00AC789F"/>
    <w:rsid w:val="00AD013E"/>
    <w:rsid w:val="00AD0DE4"/>
    <w:rsid w:val="00AD15B0"/>
    <w:rsid w:val="00AD226D"/>
    <w:rsid w:val="00AD28FA"/>
    <w:rsid w:val="00AD2C59"/>
    <w:rsid w:val="00AD2F96"/>
    <w:rsid w:val="00AD3B94"/>
    <w:rsid w:val="00AD3EF7"/>
    <w:rsid w:val="00AD4C74"/>
    <w:rsid w:val="00AD5F0A"/>
    <w:rsid w:val="00AD5F29"/>
    <w:rsid w:val="00AD669B"/>
    <w:rsid w:val="00AD67AA"/>
    <w:rsid w:val="00AE0E57"/>
    <w:rsid w:val="00AE1856"/>
    <w:rsid w:val="00AE2C7A"/>
    <w:rsid w:val="00AE2CF2"/>
    <w:rsid w:val="00AE3F55"/>
    <w:rsid w:val="00AE4A45"/>
    <w:rsid w:val="00AE5403"/>
    <w:rsid w:val="00AE64E5"/>
    <w:rsid w:val="00AE6A2B"/>
    <w:rsid w:val="00AE71E0"/>
    <w:rsid w:val="00AF0503"/>
    <w:rsid w:val="00AF0660"/>
    <w:rsid w:val="00AF1703"/>
    <w:rsid w:val="00AF199B"/>
    <w:rsid w:val="00AF19EE"/>
    <w:rsid w:val="00AF1A93"/>
    <w:rsid w:val="00AF297E"/>
    <w:rsid w:val="00AF3271"/>
    <w:rsid w:val="00AF3373"/>
    <w:rsid w:val="00AF3D23"/>
    <w:rsid w:val="00AF4647"/>
    <w:rsid w:val="00AF482F"/>
    <w:rsid w:val="00AF49BE"/>
    <w:rsid w:val="00AF4A33"/>
    <w:rsid w:val="00AF4C87"/>
    <w:rsid w:val="00AF5529"/>
    <w:rsid w:val="00AF5556"/>
    <w:rsid w:val="00AF608C"/>
    <w:rsid w:val="00AF6A12"/>
    <w:rsid w:val="00AF6DF4"/>
    <w:rsid w:val="00AF79B4"/>
    <w:rsid w:val="00AF7F3A"/>
    <w:rsid w:val="00B015DC"/>
    <w:rsid w:val="00B01C6D"/>
    <w:rsid w:val="00B03D44"/>
    <w:rsid w:val="00B040E5"/>
    <w:rsid w:val="00B05075"/>
    <w:rsid w:val="00B05F5C"/>
    <w:rsid w:val="00B05F99"/>
    <w:rsid w:val="00B06179"/>
    <w:rsid w:val="00B06580"/>
    <w:rsid w:val="00B07916"/>
    <w:rsid w:val="00B07DDD"/>
    <w:rsid w:val="00B108DB"/>
    <w:rsid w:val="00B114EA"/>
    <w:rsid w:val="00B11617"/>
    <w:rsid w:val="00B1225A"/>
    <w:rsid w:val="00B13A33"/>
    <w:rsid w:val="00B13BB7"/>
    <w:rsid w:val="00B15BD6"/>
    <w:rsid w:val="00B16913"/>
    <w:rsid w:val="00B207DF"/>
    <w:rsid w:val="00B216F9"/>
    <w:rsid w:val="00B219F6"/>
    <w:rsid w:val="00B21A19"/>
    <w:rsid w:val="00B23088"/>
    <w:rsid w:val="00B248F3"/>
    <w:rsid w:val="00B26C50"/>
    <w:rsid w:val="00B26F7D"/>
    <w:rsid w:val="00B275B2"/>
    <w:rsid w:val="00B30990"/>
    <w:rsid w:val="00B30FCC"/>
    <w:rsid w:val="00B31143"/>
    <w:rsid w:val="00B32829"/>
    <w:rsid w:val="00B33D0A"/>
    <w:rsid w:val="00B3466E"/>
    <w:rsid w:val="00B351B7"/>
    <w:rsid w:val="00B371CF"/>
    <w:rsid w:val="00B378A1"/>
    <w:rsid w:val="00B40713"/>
    <w:rsid w:val="00B41810"/>
    <w:rsid w:val="00B4187A"/>
    <w:rsid w:val="00B41D86"/>
    <w:rsid w:val="00B4276B"/>
    <w:rsid w:val="00B4279C"/>
    <w:rsid w:val="00B43BC9"/>
    <w:rsid w:val="00B4460E"/>
    <w:rsid w:val="00B44668"/>
    <w:rsid w:val="00B4593E"/>
    <w:rsid w:val="00B45A61"/>
    <w:rsid w:val="00B45E0D"/>
    <w:rsid w:val="00B46443"/>
    <w:rsid w:val="00B46DA5"/>
    <w:rsid w:val="00B470E3"/>
    <w:rsid w:val="00B50C80"/>
    <w:rsid w:val="00B5375A"/>
    <w:rsid w:val="00B56B87"/>
    <w:rsid w:val="00B5743B"/>
    <w:rsid w:val="00B60263"/>
    <w:rsid w:val="00B603BA"/>
    <w:rsid w:val="00B605C0"/>
    <w:rsid w:val="00B62190"/>
    <w:rsid w:val="00B62374"/>
    <w:rsid w:val="00B63704"/>
    <w:rsid w:val="00B63AD3"/>
    <w:rsid w:val="00B63C5B"/>
    <w:rsid w:val="00B63F7A"/>
    <w:rsid w:val="00B6540F"/>
    <w:rsid w:val="00B65549"/>
    <w:rsid w:val="00B6667D"/>
    <w:rsid w:val="00B67A9D"/>
    <w:rsid w:val="00B7006D"/>
    <w:rsid w:val="00B70F58"/>
    <w:rsid w:val="00B71CC1"/>
    <w:rsid w:val="00B71E9B"/>
    <w:rsid w:val="00B72072"/>
    <w:rsid w:val="00B729E5"/>
    <w:rsid w:val="00B72ADE"/>
    <w:rsid w:val="00B7416E"/>
    <w:rsid w:val="00B745D4"/>
    <w:rsid w:val="00B7617B"/>
    <w:rsid w:val="00B761B8"/>
    <w:rsid w:val="00B76B62"/>
    <w:rsid w:val="00B77F3D"/>
    <w:rsid w:val="00B81408"/>
    <w:rsid w:val="00B81725"/>
    <w:rsid w:val="00B81994"/>
    <w:rsid w:val="00B81F00"/>
    <w:rsid w:val="00B82196"/>
    <w:rsid w:val="00B821A6"/>
    <w:rsid w:val="00B822DD"/>
    <w:rsid w:val="00B82543"/>
    <w:rsid w:val="00B82FDE"/>
    <w:rsid w:val="00B84436"/>
    <w:rsid w:val="00B84E36"/>
    <w:rsid w:val="00B862C7"/>
    <w:rsid w:val="00B87D70"/>
    <w:rsid w:val="00B90A40"/>
    <w:rsid w:val="00B92491"/>
    <w:rsid w:val="00B92903"/>
    <w:rsid w:val="00B936BF"/>
    <w:rsid w:val="00B95251"/>
    <w:rsid w:val="00B95309"/>
    <w:rsid w:val="00B95C08"/>
    <w:rsid w:val="00B97045"/>
    <w:rsid w:val="00B97541"/>
    <w:rsid w:val="00BA0776"/>
    <w:rsid w:val="00BA0823"/>
    <w:rsid w:val="00BA0D51"/>
    <w:rsid w:val="00BA0F80"/>
    <w:rsid w:val="00BA14BC"/>
    <w:rsid w:val="00BA1939"/>
    <w:rsid w:val="00BA1B09"/>
    <w:rsid w:val="00BA1C56"/>
    <w:rsid w:val="00BA1F5F"/>
    <w:rsid w:val="00BA3119"/>
    <w:rsid w:val="00BA3C65"/>
    <w:rsid w:val="00BA4CB3"/>
    <w:rsid w:val="00BA5681"/>
    <w:rsid w:val="00BA5685"/>
    <w:rsid w:val="00BA5A03"/>
    <w:rsid w:val="00BA5A9A"/>
    <w:rsid w:val="00BA5D22"/>
    <w:rsid w:val="00BA677A"/>
    <w:rsid w:val="00BA69E5"/>
    <w:rsid w:val="00BA6D38"/>
    <w:rsid w:val="00BA770D"/>
    <w:rsid w:val="00BA7CBC"/>
    <w:rsid w:val="00BB0534"/>
    <w:rsid w:val="00BB081A"/>
    <w:rsid w:val="00BB14B7"/>
    <w:rsid w:val="00BB2029"/>
    <w:rsid w:val="00BB2D89"/>
    <w:rsid w:val="00BB3A89"/>
    <w:rsid w:val="00BB3B30"/>
    <w:rsid w:val="00BB4D80"/>
    <w:rsid w:val="00BB4FAC"/>
    <w:rsid w:val="00BB56BE"/>
    <w:rsid w:val="00BB7E49"/>
    <w:rsid w:val="00BB7FDF"/>
    <w:rsid w:val="00BC04AC"/>
    <w:rsid w:val="00BC0986"/>
    <w:rsid w:val="00BC1277"/>
    <w:rsid w:val="00BC1427"/>
    <w:rsid w:val="00BC1591"/>
    <w:rsid w:val="00BC1D15"/>
    <w:rsid w:val="00BC1D92"/>
    <w:rsid w:val="00BC2090"/>
    <w:rsid w:val="00BC2A07"/>
    <w:rsid w:val="00BC2B49"/>
    <w:rsid w:val="00BC2CA8"/>
    <w:rsid w:val="00BC2D00"/>
    <w:rsid w:val="00BC3499"/>
    <w:rsid w:val="00BC3F44"/>
    <w:rsid w:val="00BC4B6E"/>
    <w:rsid w:val="00BC4C5C"/>
    <w:rsid w:val="00BC54D0"/>
    <w:rsid w:val="00BC6392"/>
    <w:rsid w:val="00BC67FF"/>
    <w:rsid w:val="00BD0054"/>
    <w:rsid w:val="00BD08E4"/>
    <w:rsid w:val="00BD1C8F"/>
    <w:rsid w:val="00BD2850"/>
    <w:rsid w:val="00BD3D24"/>
    <w:rsid w:val="00BD4A6C"/>
    <w:rsid w:val="00BD53CD"/>
    <w:rsid w:val="00BD6004"/>
    <w:rsid w:val="00BD6278"/>
    <w:rsid w:val="00BD6E02"/>
    <w:rsid w:val="00BD6FD8"/>
    <w:rsid w:val="00BD7496"/>
    <w:rsid w:val="00BD78C3"/>
    <w:rsid w:val="00BD7DA9"/>
    <w:rsid w:val="00BD7E3D"/>
    <w:rsid w:val="00BD7F9D"/>
    <w:rsid w:val="00BE0309"/>
    <w:rsid w:val="00BE032A"/>
    <w:rsid w:val="00BE1214"/>
    <w:rsid w:val="00BE1372"/>
    <w:rsid w:val="00BE182E"/>
    <w:rsid w:val="00BE275F"/>
    <w:rsid w:val="00BE292F"/>
    <w:rsid w:val="00BE2BB3"/>
    <w:rsid w:val="00BE2C64"/>
    <w:rsid w:val="00BE4DA4"/>
    <w:rsid w:val="00BE5589"/>
    <w:rsid w:val="00BE5C0D"/>
    <w:rsid w:val="00BE6FDD"/>
    <w:rsid w:val="00BE7FB5"/>
    <w:rsid w:val="00BF059C"/>
    <w:rsid w:val="00BF06E8"/>
    <w:rsid w:val="00BF1D79"/>
    <w:rsid w:val="00BF2A00"/>
    <w:rsid w:val="00BF4426"/>
    <w:rsid w:val="00BF4DEE"/>
    <w:rsid w:val="00BF521A"/>
    <w:rsid w:val="00BF5DB9"/>
    <w:rsid w:val="00C03BF1"/>
    <w:rsid w:val="00C048B4"/>
    <w:rsid w:val="00C04E59"/>
    <w:rsid w:val="00C101D6"/>
    <w:rsid w:val="00C10ECC"/>
    <w:rsid w:val="00C11398"/>
    <w:rsid w:val="00C11E82"/>
    <w:rsid w:val="00C12E06"/>
    <w:rsid w:val="00C131F5"/>
    <w:rsid w:val="00C13CA8"/>
    <w:rsid w:val="00C14065"/>
    <w:rsid w:val="00C14263"/>
    <w:rsid w:val="00C15252"/>
    <w:rsid w:val="00C15E10"/>
    <w:rsid w:val="00C17115"/>
    <w:rsid w:val="00C17D2A"/>
    <w:rsid w:val="00C203CD"/>
    <w:rsid w:val="00C20480"/>
    <w:rsid w:val="00C21F3B"/>
    <w:rsid w:val="00C225AA"/>
    <w:rsid w:val="00C25D96"/>
    <w:rsid w:val="00C25E2B"/>
    <w:rsid w:val="00C25F1A"/>
    <w:rsid w:val="00C2600F"/>
    <w:rsid w:val="00C26EEB"/>
    <w:rsid w:val="00C27BD4"/>
    <w:rsid w:val="00C31210"/>
    <w:rsid w:val="00C319EF"/>
    <w:rsid w:val="00C3346B"/>
    <w:rsid w:val="00C3524F"/>
    <w:rsid w:val="00C35A4B"/>
    <w:rsid w:val="00C35DBE"/>
    <w:rsid w:val="00C3605B"/>
    <w:rsid w:val="00C4001D"/>
    <w:rsid w:val="00C401EF"/>
    <w:rsid w:val="00C40371"/>
    <w:rsid w:val="00C412CD"/>
    <w:rsid w:val="00C446A0"/>
    <w:rsid w:val="00C45225"/>
    <w:rsid w:val="00C466D8"/>
    <w:rsid w:val="00C4739B"/>
    <w:rsid w:val="00C507A9"/>
    <w:rsid w:val="00C50BAF"/>
    <w:rsid w:val="00C50E13"/>
    <w:rsid w:val="00C50E8B"/>
    <w:rsid w:val="00C51811"/>
    <w:rsid w:val="00C51AA0"/>
    <w:rsid w:val="00C52564"/>
    <w:rsid w:val="00C525B0"/>
    <w:rsid w:val="00C52FEB"/>
    <w:rsid w:val="00C53978"/>
    <w:rsid w:val="00C53E16"/>
    <w:rsid w:val="00C54834"/>
    <w:rsid w:val="00C54A3B"/>
    <w:rsid w:val="00C54DDC"/>
    <w:rsid w:val="00C550F0"/>
    <w:rsid w:val="00C55E69"/>
    <w:rsid w:val="00C56AD9"/>
    <w:rsid w:val="00C56CE9"/>
    <w:rsid w:val="00C56E04"/>
    <w:rsid w:val="00C56E5D"/>
    <w:rsid w:val="00C57B6C"/>
    <w:rsid w:val="00C60D1E"/>
    <w:rsid w:val="00C6100E"/>
    <w:rsid w:val="00C6168B"/>
    <w:rsid w:val="00C621B3"/>
    <w:rsid w:val="00C6492C"/>
    <w:rsid w:val="00C64F65"/>
    <w:rsid w:val="00C65F61"/>
    <w:rsid w:val="00C66427"/>
    <w:rsid w:val="00C66D2F"/>
    <w:rsid w:val="00C676ED"/>
    <w:rsid w:val="00C67AED"/>
    <w:rsid w:val="00C70442"/>
    <w:rsid w:val="00C7081C"/>
    <w:rsid w:val="00C71087"/>
    <w:rsid w:val="00C71380"/>
    <w:rsid w:val="00C72C05"/>
    <w:rsid w:val="00C73EDA"/>
    <w:rsid w:val="00C73F21"/>
    <w:rsid w:val="00C7421E"/>
    <w:rsid w:val="00C7451C"/>
    <w:rsid w:val="00C74791"/>
    <w:rsid w:val="00C754C2"/>
    <w:rsid w:val="00C7687C"/>
    <w:rsid w:val="00C76963"/>
    <w:rsid w:val="00C80B31"/>
    <w:rsid w:val="00C80FB7"/>
    <w:rsid w:val="00C819C2"/>
    <w:rsid w:val="00C81BFC"/>
    <w:rsid w:val="00C823E1"/>
    <w:rsid w:val="00C8276F"/>
    <w:rsid w:val="00C82C41"/>
    <w:rsid w:val="00C83B90"/>
    <w:rsid w:val="00C83D59"/>
    <w:rsid w:val="00C84072"/>
    <w:rsid w:val="00C840B0"/>
    <w:rsid w:val="00C8706A"/>
    <w:rsid w:val="00C875FA"/>
    <w:rsid w:val="00C8798F"/>
    <w:rsid w:val="00C87A5E"/>
    <w:rsid w:val="00C90DC2"/>
    <w:rsid w:val="00C90F4C"/>
    <w:rsid w:val="00C91388"/>
    <w:rsid w:val="00C934F9"/>
    <w:rsid w:val="00C9366F"/>
    <w:rsid w:val="00C94A59"/>
    <w:rsid w:val="00C951D0"/>
    <w:rsid w:val="00C96F4C"/>
    <w:rsid w:val="00CA1878"/>
    <w:rsid w:val="00CA1A63"/>
    <w:rsid w:val="00CA1DB7"/>
    <w:rsid w:val="00CA2696"/>
    <w:rsid w:val="00CA2B8E"/>
    <w:rsid w:val="00CA2CC8"/>
    <w:rsid w:val="00CA30BC"/>
    <w:rsid w:val="00CA438B"/>
    <w:rsid w:val="00CA4535"/>
    <w:rsid w:val="00CA7104"/>
    <w:rsid w:val="00CA7524"/>
    <w:rsid w:val="00CA7844"/>
    <w:rsid w:val="00CB030F"/>
    <w:rsid w:val="00CB08AC"/>
    <w:rsid w:val="00CB09BF"/>
    <w:rsid w:val="00CB0A43"/>
    <w:rsid w:val="00CB0D24"/>
    <w:rsid w:val="00CB2958"/>
    <w:rsid w:val="00CB4809"/>
    <w:rsid w:val="00CB63F9"/>
    <w:rsid w:val="00CB6801"/>
    <w:rsid w:val="00CB69F5"/>
    <w:rsid w:val="00CB6BC1"/>
    <w:rsid w:val="00CB77EA"/>
    <w:rsid w:val="00CB7C12"/>
    <w:rsid w:val="00CB7FE8"/>
    <w:rsid w:val="00CC009E"/>
    <w:rsid w:val="00CC00FB"/>
    <w:rsid w:val="00CC025B"/>
    <w:rsid w:val="00CC0692"/>
    <w:rsid w:val="00CC090D"/>
    <w:rsid w:val="00CC102C"/>
    <w:rsid w:val="00CC1268"/>
    <w:rsid w:val="00CC14C3"/>
    <w:rsid w:val="00CC15EB"/>
    <w:rsid w:val="00CC2EFB"/>
    <w:rsid w:val="00CC353C"/>
    <w:rsid w:val="00CC364F"/>
    <w:rsid w:val="00CC3E82"/>
    <w:rsid w:val="00CC5354"/>
    <w:rsid w:val="00CC5638"/>
    <w:rsid w:val="00CC5CFD"/>
    <w:rsid w:val="00CC6DC2"/>
    <w:rsid w:val="00CC7674"/>
    <w:rsid w:val="00CC7789"/>
    <w:rsid w:val="00CD11C2"/>
    <w:rsid w:val="00CD1332"/>
    <w:rsid w:val="00CD2D55"/>
    <w:rsid w:val="00CD30DC"/>
    <w:rsid w:val="00CD5D14"/>
    <w:rsid w:val="00CD7626"/>
    <w:rsid w:val="00CE124D"/>
    <w:rsid w:val="00CE1335"/>
    <w:rsid w:val="00CE1609"/>
    <w:rsid w:val="00CE2636"/>
    <w:rsid w:val="00CE3916"/>
    <w:rsid w:val="00CE4814"/>
    <w:rsid w:val="00CE61B9"/>
    <w:rsid w:val="00CE6A17"/>
    <w:rsid w:val="00CE7D99"/>
    <w:rsid w:val="00CF0768"/>
    <w:rsid w:val="00CF1AD6"/>
    <w:rsid w:val="00CF25AA"/>
    <w:rsid w:val="00CF26BB"/>
    <w:rsid w:val="00CF2B16"/>
    <w:rsid w:val="00CF46EC"/>
    <w:rsid w:val="00CF4BB2"/>
    <w:rsid w:val="00CF521B"/>
    <w:rsid w:val="00CF5315"/>
    <w:rsid w:val="00CF5471"/>
    <w:rsid w:val="00CF71A8"/>
    <w:rsid w:val="00D01910"/>
    <w:rsid w:val="00D01FEF"/>
    <w:rsid w:val="00D03290"/>
    <w:rsid w:val="00D03A0B"/>
    <w:rsid w:val="00D0411D"/>
    <w:rsid w:val="00D06309"/>
    <w:rsid w:val="00D065A7"/>
    <w:rsid w:val="00D1078E"/>
    <w:rsid w:val="00D10ACB"/>
    <w:rsid w:val="00D1228F"/>
    <w:rsid w:val="00D12693"/>
    <w:rsid w:val="00D12767"/>
    <w:rsid w:val="00D13261"/>
    <w:rsid w:val="00D13EFD"/>
    <w:rsid w:val="00D1410D"/>
    <w:rsid w:val="00D15024"/>
    <w:rsid w:val="00D15275"/>
    <w:rsid w:val="00D15BE2"/>
    <w:rsid w:val="00D1737E"/>
    <w:rsid w:val="00D17932"/>
    <w:rsid w:val="00D17A8C"/>
    <w:rsid w:val="00D2209C"/>
    <w:rsid w:val="00D22726"/>
    <w:rsid w:val="00D24001"/>
    <w:rsid w:val="00D24465"/>
    <w:rsid w:val="00D24C30"/>
    <w:rsid w:val="00D25145"/>
    <w:rsid w:val="00D25ECA"/>
    <w:rsid w:val="00D262DA"/>
    <w:rsid w:val="00D26D8F"/>
    <w:rsid w:val="00D2758D"/>
    <w:rsid w:val="00D30B07"/>
    <w:rsid w:val="00D30E19"/>
    <w:rsid w:val="00D31174"/>
    <w:rsid w:val="00D316BB"/>
    <w:rsid w:val="00D31A57"/>
    <w:rsid w:val="00D32EC8"/>
    <w:rsid w:val="00D3312E"/>
    <w:rsid w:val="00D33834"/>
    <w:rsid w:val="00D33959"/>
    <w:rsid w:val="00D33962"/>
    <w:rsid w:val="00D34699"/>
    <w:rsid w:val="00D3532A"/>
    <w:rsid w:val="00D35BDE"/>
    <w:rsid w:val="00D35C53"/>
    <w:rsid w:val="00D366A8"/>
    <w:rsid w:val="00D41375"/>
    <w:rsid w:val="00D41C8F"/>
    <w:rsid w:val="00D437F2"/>
    <w:rsid w:val="00D43A4A"/>
    <w:rsid w:val="00D4538B"/>
    <w:rsid w:val="00D4610F"/>
    <w:rsid w:val="00D47155"/>
    <w:rsid w:val="00D47BBD"/>
    <w:rsid w:val="00D47DBC"/>
    <w:rsid w:val="00D50940"/>
    <w:rsid w:val="00D50983"/>
    <w:rsid w:val="00D50D3E"/>
    <w:rsid w:val="00D51175"/>
    <w:rsid w:val="00D51B3D"/>
    <w:rsid w:val="00D52053"/>
    <w:rsid w:val="00D53AB5"/>
    <w:rsid w:val="00D53C02"/>
    <w:rsid w:val="00D543A9"/>
    <w:rsid w:val="00D55025"/>
    <w:rsid w:val="00D556E8"/>
    <w:rsid w:val="00D560D5"/>
    <w:rsid w:val="00D560F8"/>
    <w:rsid w:val="00D567BB"/>
    <w:rsid w:val="00D57AB0"/>
    <w:rsid w:val="00D57FDC"/>
    <w:rsid w:val="00D60295"/>
    <w:rsid w:val="00D603BD"/>
    <w:rsid w:val="00D60AB3"/>
    <w:rsid w:val="00D60BBA"/>
    <w:rsid w:val="00D60CCC"/>
    <w:rsid w:val="00D6174F"/>
    <w:rsid w:val="00D61C7D"/>
    <w:rsid w:val="00D620EF"/>
    <w:rsid w:val="00D62444"/>
    <w:rsid w:val="00D63EBA"/>
    <w:rsid w:val="00D6406B"/>
    <w:rsid w:val="00D649C3"/>
    <w:rsid w:val="00D64A87"/>
    <w:rsid w:val="00D65ADE"/>
    <w:rsid w:val="00D6603A"/>
    <w:rsid w:val="00D7072C"/>
    <w:rsid w:val="00D7120D"/>
    <w:rsid w:val="00D73FF8"/>
    <w:rsid w:val="00D749FF"/>
    <w:rsid w:val="00D74DA5"/>
    <w:rsid w:val="00D750A6"/>
    <w:rsid w:val="00D750B6"/>
    <w:rsid w:val="00D751D4"/>
    <w:rsid w:val="00D7594A"/>
    <w:rsid w:val="00D77572"/>
    <w:rsid w:val="00D77B38"/>
    <w:rsid w:val="00D80E45"/>
    <w:rsid w:val="00D8126E"/>
    <w:rsid w:val="00D81CD4"/>
    <w:rsid w:val="00D82EAF"/>
    <w:rsid w:val="00D833C0"/>
    <w:rsid w:val="00D8476D"/>
    <w:rsid w:val="00D85198"/>
    <w:rsid w:val="00D85B53"/>
    <w:rsid w:val="00D85CEB"/>
    <w:rsid w:val="00D86EF4"/>
    <w:rsid w:val="00D87FDE"/>
    <w:rsid w:val="00D90186"/>
    <w:rsid w:val="00D913F6"/>
    <w:rsid w:val="00D9161D"/>
    <w:rsid w:val="00D920CF"/>
    <w:rsid w:val="00D92258"/>
    <w:rsid w:val="00D925D1"/>
    <w:rsid w:val="00D93C71"/>
    <w:rsid w:val="00D95161"/>
    <w:rsid w:val="00D95A0A"/>
    <w:rsid w:val="00D96429"/>
    <w:rsid w:val="00D96B6A"/>
    <w:rsid w:val="00D976C1"/>
    <w:rsid w:val="00D9790B"/>
    <w:rsid w:val="00D97F3A"/>
    <w:rsid w:val="00DA08BB"/>
    <w:rsid w:val="00DA1022"/>
    <w:rsid w:val="00DA10D5"/>
    <w:rsid w:val="00DA283F"/>
    <w:rsid w:val="00DA2F7B"/>
    <w:rsid w:val="00DA512F"/>
    <w:rsid w:val="00DA5620"/>
    <w:rsid w:val="00DA5D89"/>
    <w:rsid w:val="00DA698B"/>
    <w:rsid w:val="00DA7193"/>
    <w:rsid w:val="00DA7733"/>
    <w:rsid w:val="00DA7903"/>
    <w:rsid w:val="00DA7D8A"/>
    <w:rsid w:val="00DA7D91"/>
    <w:rsid w:val="00DA7FE9"/>
    <w:rsid w:val="00DB0B5B"/>
    <w:rsid w:val="00DB2C29"/>
    <w:rsid w:val="00DB3F07"/>
    <w:rsid w:val="00DB51FE"/>
    <w:rsid w:val="00DB56EC"/>
    <w:rsid w:val="00DB6913"/>
    <w:rsid w:val="00DC0473"/>
    <w:rsid w:val="00DC0D92"/>
    <w:rsid w:val="00DC16C4"/>
    <w:rsid w:val="00DC1840"/>
    <w:rsid w:val="00DC1D0E"/>
    <w:rsid w:val="00DC1D5A"/>
    <w:rsid w:val="00DC2F28"/>
    <w:rsid w:val="00DC3EAD"/>
    <w:rsid w:val="00DC429F"/>
    <w:rsid w:val="00DC44BB"/>
    <w:rsid w:val="00DC4DBC"/>
    <w:rsid w:val="00DC5637"/>
    <w:rsid w:val="00DC630F"/>
    <w:rsid w:val="00DC6B7B"/>
    <w:rsid w:val="00DC7538"/>
    <w:rsid w:val="00DD0850"/>
    <w:rsid w:val="00DD0988"/>
    <w:rsid w:val="00DD2175"/>
    <w:rsid w:val="00DD312E"/>
    <w:rsid w:val="00DD3A08"/>
    <w:rsid w:val="00DD43D0"/>
    <w:rsid w:val="00DD46A2"/>
    <w:rsid w:val="00DD4723"/>
    <w:rsid w:val="00DD615E"/>
    <w:rsid w:val="00DD630D"/>
    <w:rsid w:val="00DD6E4B"/>
    <w:rsid w:val="00DD7254"/>
    <w:rsid w:val="00DD7F58"/>
    <w:rsid w:val="00DE0048"/>
    <w:rsid w:val="00DE0C0C"/>
    <w:rsid w:val="00DE2BA4"/>
    <w:rsid w:val="00DE4FBF"/>
    <w:rsid w:val="00DE518B"/>
    <w:rsid w:val="00DE5865"/>
    <w:rsid w:val="00DE605C"/>
    <w:rsid w:val="00DE7296"/>
    <w:rsid w:val="00DF01CF"/>
    <w:rsid w:val="00DF026E"/>
    <w:rsid w:val="00DF0696"/>
    <w:rsid w:val="00DF15A8"/>
    <w:rsid w:val="00DF25B5"/>
    <w:rsid w:val="00DF27F0"/>
    <w:rsid w:val="00DF3290"/>
    <w:rsid w:val="00DF456A"/>
    <w:rsid w:val="00DF4F76"/>
    <w:rsid w:val="00DF6698"/>
    <w:rsid w:val="00E01DB7"/>
    <w:rsid w:val="00E0235E"/>
    <w:rsid w:val="00E02695"/>
    <w:rsid w:val="00E02C38"/>
    <w:rsid w:val="00E05162"/>
    <w:rsid w:val="00E06A30"/>
    <w:rsid w:val="00E0750D"/>
    <w:rsid w:val="00E07B71"/>
    <w:rsid w:val="00E07D3F"/>
    <w:rsid w:val="00E10B8A"/>
    <w:rsid w:val="00E10DA4"/>
    <w:rsid w:val="00E11E7E"/>
    <w:rsid w:val="00E12016"/>
    <w:rsid w:val="00E13019"/>
    <w:rsid w:val="00E1436D"/>
    <w:rsid w:val="00E14594"/>
    <w:rsid w:val="00E14598"/>
    <w:rsid w:val="00E14717"/>
    <w:rsid w:val="00E14952"/>
    <w:rsid w:val="00E149AF"/>
    <w:rsid w:val="00E14D1D"/>
    <w:rsid w:val="00E154BF"/>
    <w:rsid w:val="00E1595D"/>
    <w:rsid w:val="00E15E3A"/>
    <w:rsid w:val="00E16DB3"/>
    <w:rsid w:val="00E207E1"/>
    <w:rsid w:val="00E20D51"/>
    <w:rsid w:val="00E2124F"/>
    <w:rsid w:val="00E218EE"/>
    <w:rsid w:val="00E21D51"/>
    <w:rsid w:val="00E2443D"/>
    <w:rsid w:val="00E24D5C"/>
    <w:rsid w:val="00E260BB"/>
    <w:rsid w:val="00E26EDD"/>
    <w:rsid w:val="00E2739D"/>
    <w:rsid w:val="00E2756F"/>
    <w:rsid w:val="00E30DA9"/>
    <w:rsid w:val="00E311CB"/>
    <w:rsid w:val="00E31A57"/>
    <w:rsid w:val="00E31DCB"/>
    <w:rsid w:val="00E32EC4"/>
    <w:rsid w:val="00E33104"/>
    <w:rsid w:val="00E33748"/>
    <w:rsid w:val="00E3397A"/>
    <w:rsid w:val="00E33D62"/>
    <w:rsid w:val="00E33DFB"/>
    <w:rsid w:val="00E348A0"/>
    <w:rsid w:val="00E34BB5"/>
    <w:rsid w:val="00E35AE3"/>
    <w:rsid w:val="00E3681E"/>
    <w:rsid w:val="00E37A59"/>
    <w:rsid w:val="00E40348"/>
    <w:rsid w:val="00E409E4"/>
    <w:rsid w:val="00E415F2"/>
    <w:rsid w:val="00E41FB4"/>
    <w:rsid w:val="00E44559"/>
    <w:rsid w:val="00E469E9"/>
    <w:rsid w:val="00E47684"/>
    <w:rsid w:val="00E512DE"/>
    <w:rsid w:val="00E5238C"/>
    <w:rsid w:val="00E534C7"/>
    <w:rsid w:val="00E5371F"/>
    <w:rsid w:val="00E53B16"/>
    <w:rsid w:val="00E546B4"/>
    <w:rsid w:val="00E548D7"/>
    <w:rsid w:val="00E54F7B"/>
    <w:rsid w:val="00E5558E"/>
    <w:rsid w:val="00E56904"/>
    <w:rsid w:val="00E57CEE"/>
    <w:rsid w:val="00E57D1B"/>
    <w:rsid w:val="00E57EC1"/>
    <w:rsid w:val="00E6147B"/>
    <w:rsid w:val="00E61B20"/>
    <w:rsid w:val="00E61E3D"/>
    <w:rsid w:val="00E620FA"/>
    <w:rsid w:val="00E624DF"/>
    <w:rsid w:val="00E632D4"/>
    <w:rsid w:val="00E64582"/>
    <w:rsid w:val="00E6579D"/>
    <w:rsid w:val="00E664B7"/>
    <w:rsid w:val="00E70A9F"/>
    <w:rsid w:val="00E7105F"/>
    <w:rsid w:val="00E7115D"/>
    <w:rsid w:val="00E713C3"/>
    <w:rsid w:val="00E71438"/>
    <w:rsid w:val="00E72A13"/>
    <w:rsid w:val="00E72D47"/>
    <w:rsid w:val="00E738AA"/>
    <w:rsid w:val="00E739BE"/>
    <w:rsid w:val="00E7470F"/>
    <w:rsid w:val="00E7483B"/>
    <w:rsid w:val="00E74AEE"/>
    <w:rsid w:val="00E75C9D"/>
    <w:rsid w:val="00E76092"/>
    <w:rsid w:val="00E76441"/>
    <w:rsid w:val="00E76EBB"/>
    <w:rsid w:val="00E77141"/>
    <w:rsid w:val="00E80911"/>
    <w:rsid w:val="00E81253"/>
    <w:rsid w:val="00E822B1"/>
    <w:rsid w:val="00E826D5"/>
    <w:rsid w:val="00E8273B"/>
    <w:rsid w:val="00E8394A"/>
    <w:rsid w:val="00E849EA"/>
    <w:rsid w:val="00E85DA7"/>
    <w:rsid w:val="00E85E4A"/>
    <w:rsid w:val="00E8622F"/>
    <w:rsid w:val="00E868D2"/>
    <w:rsid w:val="00E878B4"/>
    <w:rsid w:val="00E87B47"/>
    <w:rsid w:val="00E90D82"/>
    <w:rsid w:val="00E911AB"/>
    <w:rsid w:val="00E9175E"/>
    <w:rsid w:val="00E92528"/>
    <w:rsid w:val="00E92B93"/>
    <w:rsid w:val="00E92EE2"/>
    <w:rsid w:val="00E93361"/>
    <w:rsid w:val="00E93836"/>
    <w:rsid w:val="00E93893"/>
    <w:rsid w:val="00E93CEF"/>
    <w:rsid w:val="00E93EDA"/>
    <w:rsid w:val="00E94886"/>
    <w:rsid w:val="00E94F43"/>
    <w:rsid w:val="00E95522"/>
    <w:rsid w:val="00E96091"/>
    <w:rsid w:val="00E96139"/>
    <w:rsid w:val="00E97544"/>
    <w:rsid w:val="00E97D5B"/>
    <w:rsid w:val="00EA09F7"/>
    <w:rsid w:val="00EA15EB"/>
    <w:rsid w:val="00EA173F"/>
    <w:rsid w:val="00EA19F5"/>
    <w:rsid w:val="00EA2499"/>
    <w:rsid w:val="00EA3128"/>
    <w:rsid w:val="00EA31BE"/>
    <w:rsid w:val="00EA3A8D"/>
    <w:rsid w:val="00EA424B"/>
    <w:rsid w:val="00EA4DE3"/>
    <w:rsid w:val="00EA55D3"/>
    <w:rsid w:val="00EA5A16"/>
    <w:rsid w:val="00EA62F5"/>
    <w:rsid w:val="00EA6B9A"/>
    <w:rsid w:val="00EA7384"/>
    <w:rsid w:val="00EA75AE"/>
    <w:rsid w:val="00EA75F0"/>
    <w:rsid w:val="00EA7932"/>
    <w:rsid w:val="00EB0389"/>
    <w:rsid w:val="00EB0876"/>
    <w:rsid w:val="00EB0902"/>
    <w:rsid w:val="00EB0F4E"/>
    <w:rsid w:val="00EB1592"/>
    <w:rsid w:val="00EB2696"/>
    <w:rsid w:val="00EB43F8"/>
    <w:rsid w:val="00EB481E"/>
    <w:rsid w:val="00EB4B6D"/>
    <w:rsid w:val="00EB5F7F"/>
    <w:rsid w:val="00EB5FFD"/>
    <w:rsid w:val="00EB6BDA"/>
    <w:rsid w:val="00EB79E4"/>
    <w:rsid w:val="00EB7ACC"/>
    <w:rsid w:val="00EB7E73"/>
    <w:rsid w:val="00EC1655"/>
    <w:rsid w:val="00EC1C87"/>
    <w:rsid w:val="00EC2583"/>
    <w:rsid w:val="00EC2850"/>
    <w:rsid w:val="00EC2E64"/>
    <w:rsid w:val="00EC3101"/>
    <w:rsid w:val="00EC3604"/>
    <w:rsid w:val="00EC3A12"/>
    <w:rsid w:val="00EC48A5"/>
    <w:rsid w:val="00EC4D6A"/>
    <w:rsid w:val="00EC4E7F"/>
    <w:rsid w:val="00EC5DA2"/>
    <w:rsid w:val="00EC5F15"/>
    <w:rsid w:val="00EC64FC"/>
    <w:rsid w:val="00EC6F32"/>
    <w:rsid w:val="00EC77A0"/>
    <w:rsid w:val="00EC7F3F"/>
    <w:rsid w:val="00ED0C17"/>
    <w:rsid w:val="00ED2184"/>
    <w:rsid w:val="00ED2979"/>
    <w:rsid w:val="00ED313F"/>
    <w:rsid w:val="00ED3A38"/>
    <w:rsid w:val="00ED40B3"/>
    <w:rsid w:val="00ED51C2"/>
    <w:rsid w:val="00ED5B3F"/>
    <w:rsid w:val="00ED63C3"/>
    <w:rsid w:val="00ED6D96"/>
    <w:rsid w:val="00ED7E06"/>
    <w:rsid w:val="00ED7E20"/>
    <w:rsid w:val="00EE026D"/>
    <w:rsid w:val="00EE02EF"/>
    <w:rsid w:val="00EE0649"/>
    <w:rsid w:val="00EE1153"/>
    <w:rsid w:val="00EE13D9"/>
    <w:rsid w:val="00EE1CFA"/>
    <w:rsid w:val="00EE3235"/>
    <w:rsid w:val="00EE3E5C"/>
    <w:rsid w:val="00EE44B1"/>
    <w:rsid w:val="00EE4D42"/>
    <w:rsid w:val="00EE4E17"/>
    <w:rsid w:val="00EE61F5"/>
    <w:rsid w:val="00EE650E"/>
    <w:rsid w:val="00EE68D0"/>
    <w:rsid w:val="00EE6F6E"/>
    <w:rsid w:val="00EE78BE"/>
    <w:rsid w:val="00EF05E4"/>
    <w:rsid w:val="00EF0F16"/>
    <w:rsid w:val="00EF1B5E"/>
    <w:rsid w:val="00EF2928"/>
    <w:rsid w:val="00EF3025"/>
    <w:rsid w:val="00EF592D"/>
    <w:rsid w:val="00EF664B"/>
    <w:rsid w:val="00EF6873"/>
    <w:rsid w:val="00EF68D4"/>
    <w:rsid w:val="00EF7BEB"/>
    <w:rsid w:val="00F00735"/>
    <w:rsid w:val="00F0274E"/>
    <w:rsid w:val="00F027B9"/>
    <w:rsid w:val="00F02BAD"/>
    <w:rsid w:val="00F02EFE"/>
    <w:rsid w:val="00F054ED"/>
    <w:rsid w:val="00F05980"/>
    <w:rsid w:val="00F076B6"/>
    <w:rsid w:val="00F10841"/>
    <w:rsid w:val="00F1097A"/>
    <w:rsid w:val="00F10EEB"/>
    <w:rsid w:val="00F11217"/>
    <w:rsid w:val="00F12A70"/>
    <w:rsid w:val="00F13F06"/>
    <w:rsid w:val="00F1463D"/>
    <w:rsid w:val="00F15F7C"/>
    <w:rsid w:val="00F16AB9"/>
    <w:rsid w:val="00F17069"/>
    <w:rsid w:val="00F179E5"/>
    <w:rsid w:val="00F17C4C"/>
    <w:rsid w:val="00F20347"/>
    <w:rsid w:val="00F209DB"/>
    <w:rsid w:val="00F236C0"/>
    <w:rsid w:val="00F23962"/>
    <w:rsid w:val="00F251CA"/>
    <w:rsid w:val="00F260F4"/>
    <w:rsid w:val="00F26CFE"/>
    <w:rsid w:val="00F312D5"/>
    <w:rsid w:val="00F31368"/>
    <w:rsid w:val="00F3193C"/>
    <w:rsid w:val="00F31D49"/>
    <w:rsid w:val="00F32572"/>
    <w:rsid w:val="00F326CC"/>
    <w:rsid w:val="00F329A0"/>
    <w:rsid w:val="00F33400"/>
    <w:rsid w:val="00F33881"/>
    <w:rsid w:val="00F33A01"/>
    <w:rsid w:val="00F33B54"/>
    <w:rsid w:val="00F34530"/>
    <w:rsid w:val="00F34B74"/>
    <w:rsid w:val="00F34BC9"/>
    <w:rsid w:val="00F34C6A"/>
    <w:rsid w:val="00F34E02"/>
    <w:rsid w:val="00F36351"/>
    <w:rsid w:val="00F36CA0"/>
    <w:rsid w:val="00F372C8"/>
    <w:rsid w:val="00F37C45"/>
    <w:rsid w:val="00F41009"/>
    <w:rsid w:val="00F44C20"/>
    <w:rsid w:val="00F44D5D"/>
    <w:rsid w:val="00F44D96"/>
    <w:rsid w:val="00F44FDF"/>
    <w:rsid w:val="00F4642B"/>
    <w:rsid w:val="00F469F3"/>
    <w:rsid w:val="00F46EB1"/>
    <w:rsid w:val="00F47C5F"/>
    <w:rsid w:val="00F50B66"/>
    <w:rsid w:val="00F512AA"/>
    <w:rsid w:val="00F5247F"/>
    <w:rsid w:val="00F5402C"/>
    <w:rsid w:val="00F55B3D"/>
    <w:rsid w:val="00F55D07"/>
    <w:rsid w:val="00F571A3"/>
    <w:rsid w:val="00F5729B"/>
    <w:rsid w:val="00F57453"/>
    <w:rsid w:val="00F57C02"/>
    <w:rsid w:val="00F60502"/>
    <w:rsid w:val="00F60A54"/>
    <w:rsid w:val="00F617A1"/>
    <w:rsid w:val="00F62527"/>
    <w:rsid w:val="00F6255D"/>
    <w:rsid w:val="00F626D0"/>
    <w:rsid w:val="00F638D8"/>
    <w:rsid w:val="00F63D29"/>
    <w:rsid w:val="00F650A1"/>
    <w:rsid w:val="00F654E8"/>
    <w:rsid w:val="00F656CC"/>
    <w:rsid w:val="00F6652F"/>
    <w:rsid w:val="00F66BBF"/>
    <w:rsid w:val="00F70BAD"/>
    <w:rsid w:val="00F71CA2"/>
    <w:rsid w:val="00F730D3"/>
    <w:rsid w:val="00F735F4"/>
    <w:rsid w:val="00F7381A"/>
    <w:rsid w:val="00F7388F"/>
    <w:rsid w:val="00F74688"/>
    <w:rsid w:val="00F7523A"/>
    <w:rsid w:val="00F765BB"/>
    <w:rsid w:val="00F76836"/>
    <w:rsid w:val="00F76FB2"/>
    <w:rsid w:val="00F77E86"/>
    <w:rsid w:val="00F80710"/>
    <w:rsid w:val="00F81334"/>
    <w:rsid w:val="00F81342"/>
    <w:rsid w:val="00F8138A"/>
    <w:rsid w:val="00F82C51"/>
    <w:rsid w:val="00F84276"/>
    <w:rsid w:val="00F8561A"/>
    <w:rsid w:val="00F90128"/>
    <w:rsid w:val="00F906F8"/>
    <w:rsid w:val="00F90979"/>
    <w:rsid w:val="00F915E2"/>
    <w:rsid w:val="00F91A5D"/>
    <w:rsid w:val="00F92218"/>
    <w:rsid w:val="00F93353"/>
    <w:rsid w:val="00F94CB4"/>
    <w:rsid w:val="00F95371"/>
    <w:rsid w:val="00F9584F"/>
    <w:rsid w:val="00F96113"/>
    <w:rsid w:val="00F965F1"/>
    <w:rsid w:val="00F97A11"/>
    <w:rsid w:val="00FA0446"/>
    <w:rsid w:val="00FA0C17"/>
    <w:rsid w:val="00FA1E5C"/>
    <w:rsid w:val="00FA2355"/>
    <w:rsid w:val="00FA2C03"/>
    <w:rsid w:val="00FA2CB0"/>
    <w:rsid w:val="00FA34A4"/>
    <w:rsid w:val="00FA3522"/>
    <w:rsid w:val="00FA353D"/>
    <w:rsid w:val="00FA38B4"/>
    <w:rsid w:val="00FA3AEF"/>
    <w:rsid w:val="00FA3EDA"/>
    <w:rsid w:val="00FA594E"/>
    <w:rsid w:val="00FA66F4"/>
    <w:rsid w:val="00FB1C1E"/>
    <w:rsid w:val="00FB28E3"/>
    <w:rsid w:val="00FB2D6A"/>
    <w:rsid w:val="00FB2FE4"/>
    <w:rsid w:val="00FB3CAA"/>
    <w:rsid w:val="00FB540F"/>
    <w:rsid w:val="00FB5E03"/>
    <w:rsid w:val="00FB5EA4"/>
    <w:rsid w:val="00FB7E36"/>
    <w:rsid w:val="00FC0258"/>
    <w:rsid w:val="00FC1A83"/>
    <w:rsid w:val="00FC2CFA"/>
    <w:rsid w:val="00FC31A1"/>
    <w:rsid w:val="00FC3E94"/>
    <w:rsid w:val="00FC451A"/>
    <w:rsid w:val="00FC47E5"/>
    <w:rsid w:val="00FC5057"/>
    <w:rsid w:val="00FC5247"/>
    <w:rsid w:val="00FC54C6"/>
    <w:rsid w:val="00FC5C5F"/>
    <w:rsid w:val="00FC7E2F"/>
    <w:rsid w:val="00FD15DB"/>
    <w:rsid w:val="00FD1E5A"/>
    <w:rsid w:val="00FD2215"/>
    <w:rsid w:val="00FD2EBA"/>
    <w:rsid w:val="00FD370F"/>
    <w:rsid w:val="00FD37BC"/>
    <w:rsid w:val="00FD4970"/>
    <w:rsid w:val="00FD4CA4"/>
    <w:rsid w:val="00FD5C20"/>
    <w:rsid w:val="00FD615E"/>
    <w:rsid w:val="00FD61FD"/>
    <w:rsid w:val="00FD6268"/>
    <w:rsid w:val="00FD6669"/>
    <w:rsid w:val="00FD7138"/>
    <w:rsid w:val="00FD7740"/>
    <w:rsid w:val="00FD7AD3"/>
    <w:rsid w:val="00FD7C6F"/>
    <w:rsid w:val="00FE10AC"/>
    <w:rsid w:val="00FE2290"/>
    <w:rsid w:val="00FE2B03"/>
    <w:rsid w:val="00FE2B5C"/>
    <w:rsid w:val="00FE3258"/>
    <w:rsid w:val="00FE6276"/>
    <w:rsid w:val="00FE6B12"/>
    <w:rsid w:val="00FE7F95"/>
    <w:rsid w:val="00FF0CC9"/>
    <w:rsid w:val="00FF0F9B"/>
    <w:rsid w:val="00FF22D5"/>
    <w:rsid w:val="00FF490C"/>
    <w:rsid w:val="00FF4B9A"/>
    <w:rsid w:val="00FF6A3A"/>
    <w:rsid w:val="00FF7986"/>
    <w:rsid w:val="00FF7B76"/>
    <w:rsid w:val="010C2C96"/>
    <w:rsid w:val="010C5046"/>
    <w:rsid w:val="010D671E"/>
    <w:rsid w:val="01124840"/>
    <w:rsid w:val="011C1FFB"/>
    <w:rsid w:val="011F1DB8"/>
    <w:rsid w:val="012B351C"/>
    <w:rsid w:val="012D7A79"/>
    <w:rsid w:val="013E35E1"/>
    <w:rsid w:val="016844A4"/>
    <w:rsid w:val="01724F7C"/>
    <w:rsid w:val="01785C2C"/>
    <w:rsid w:val="017A034A"/>
    <w:rsid w:val="01800DA6"/>
    <w:rsid w:val="018F0ADB"/>
    <w:rsid w:val="01911169"/>
    <w:rsid w:val="01936D79"/>
    <w:rsid w:val="01982A7C"/>
    <w:rsid w:val="019A1914"/>
    <w:rsid w:val="019B1A9C"/>
    <w:rsid w:val="019E7BD8"/>
    <w:rsid w:val="01AA0068"/>
    <w:rsid w:val="01B862EF"/>
    <w:rsid w:val="01C20A07"/>
    <w:rsid w:val="01D34206"/>
    <w:rsid w:val="01DF1969"/>
    <w:rsid w:val="01E17DC1"/>
    <w:rsid w:val="01EB1997"/>
    <w:rsid w:val="01ED7119"/>
    <w:rsid w:val="01F80CAB"/>
    <w:rsid w:val="0206558C"/>
    <w:rsid w:val="021C6DDB"/>
    <w:rsid w:val="021D78AB"/>
    <w:rsid w:val="02200B7B"/>
    <w:rsid w:val="022210FA"/>
    <w:rsid w:val="024C066E"/>
    <w:rsid w:val="024F27D3"/>
    <w:rsid w:val="02692B30"/>
    <w:rsid w:val="027C7864"/>
    <w:rsid w:val="02951F19"/>
    <w:rsid w:val="02A036F5"/>
    <w:rsid w:val="02B611E1"/>
    <w:rsid w:val="02B77957"/>
    <w:rsid w:val="02BB0734"/>
    <w:rsid w:val="02C42214"/>
    <w:rsid w:val="02CC6CBE"/>
    <w:rsid w:val="02CD5A24"/>
    <w:rsid w:val="02D25939"/>
    <w:rsid w:val="02DA3C5B"/>
    <w:rsid w:val="02E57F58"/>
    <w:rsid w:val="02E70BC8"/>
    <w:rsid w:val="03024A00"/>
    <w:rsid w:val="03032339"/>
    <w:rsid w:val="030625CB"/>
    <w:rsid w:val="030C6F29"/>
    <w:rsid w:val="030D1D2D"/>
    <w:rsid w:val="0320730B"/>
    <w:rsid w:val="03245DFE"/>
    <w:rsid w:val="032E6D36"/>
    <w:rsid w:val="03344220"/>
    <w:rsid w:val="033928D2"/>
    <w:rsid w:val="03625B00"/>
    <w:rsid w:val="03656611"/>
    <w:rsid w:val="03666FB7"/>
    <w:rsid w:val="0369412B"/>
    <w:rsid w:val="036D6BA3"/>
    <w:rsid w:val="037736BF"/>
    <w:rsid w:val="0388753D"/>
    <w:rsid w:val="03AC26DB"/>
    <w:rsid w:val="03BA4347"/>
    <w:rsid w:val="03BB37B6"/>
    <w:rsid w:val="03CA3BF8"/>
    <w:rsid w:val="03D06CE8"/>
    <w:rsid w:val="03D3487F"/>
    <w:rsid w:val="03DA050F"/>
    <w:rsid w:val="03DA551E"/>
    <w:rsid w:val="03E1434F"/>
    <w:rsid w:val="03E24779"/>
    <w:rsid w:val="04031645"/>
    <w:rsid w:val="04123DBD"/>
    <w:rsid w:val="0415791F"/>
    <w:rsid w:val="04247E93"/>
    <w:rsid w:val="042D4BCA"/>
    <w:rsid w:val="0438233B"/>
    <w:rsid w:val="04415975"/>
    <w:rsid w:val="04422EA4"/>
    <w:rsid w:val="04453FA6"/>
    <w:rsid w:val="045654C5"/>
    <w:rsid w:val="045841FB"/>
    <w:rsid w:val="04635E28"/>
    <w:rsid w:val="046E0340"/>
    <w:rsid w:val="0470433C"/>
    <w:rsid w:val="04795398"/>
    <w:rsid w:val="047D3A77"/>
    <w:rsid w:val="047E4E8C"/>
    <w:rsid w:val="048250A5"/>
    <w:rsid w:val="04965B36"/>
    <w:rsid w:val="04AC5A06"/>
    <w:rsid w:val="04AE7343"/>
    <w:rsid w:val="04B90BB3"/>
    <w:rsid w:val="04C4109A"/>
    <w:rsid w:val="04D26CFA"/>
    <w:rsid w:val="04E847E3"/>
    <w:rsid w:val="04F03E4C"/>
    <w:rsid w:val="04F964FE"/>
    <w:rsid w:val="050F0C3B"/>
    <w:rsid w:val="051038C0"/>
    <w:rsid w:val="05130A9A"/>
    <w:rsid w:val="05202CD7"/>
    <w:rsid w:val="05284567"/>
    <w:rsid w:val="052E0C6F"/>
    <w:rsid w:val="052E677A"/>
    <w:rsid w:val="05320B7C"/>
    <w:rsid w:val="053467E6"/>
    <w:rsid w:val="0537577B"/>
    <w:rsid w:val="05407004"/>
    <w:rsid w:val="055968F8"/>
    <w:rsid w:val="055E2363"/>
    <w:rsid w:val="055E6FD1"/>
    <w:rsid w:val="056475CC"/>
    <w:rsid w:val="05656253"/>
    <w:rsid w:val="05711383"/>
    <w:rsid w:val="057920E8"/>
    <w:rsid w:val="057A271D"/>
    <w:rsid w:val="05940E2A"/>
    <w:rsid w:val="05994192"/>
    <w:rsid w:val="059F4AC3"/>
    <w:rsid w:val="05A31D76"/>
    <w:rsid w:val="05AD247A"/>
    <w:rsid w:val="05BE291C"/>
    <w:rsid w:val="05C41C5F"/>
    <w:rsid w:val="05C575C9"/>
    <w:rsid w:val="05C96DAF"/>
    <w:rsid w:val="05CB0777"/>
    <w:rsid w:val="05D53D9D"/>
    <w:rsid w:val="05D64790"/>
    <w:rsid w:val="05D86F60"/>
    <w:rsid w:val="05DA39A6"/>
    <w:rsid w:val="05E1417C"/>
    <w:rsid w:val="05EF05A3"/>
    <w:rsid w:val="05F02461"/>
    <w:rsid w:val="05F42BDE"/>
    <w:rsid w:val="05FC2CC6"/>
    <w:rsid w:val="05FD34E9"/>
    <w:rsid w:val="060E60F1"/>
    <w:rsid w:val="06151530"/>
    <w:rsid w:val="061E78E4"/>
    <w:rsid w:val="062524A0"/>
    <w:rsid w:val="062C1339"/>
    <w:rsid w:val="06396C2F"/>
    <w:rsid w:val="06414FF3"/>
    <w:rsid w:val="064266BC"/>
    <w:rsid w:val="06496457"/>
    <w:rsid w:val="064A03A8"/>
    <w:rsid w:val="0655713A"/>
    <w:rsid w:val="06625D2A"/>
    <w:rsid w:val="06651536"/>
    <w:rsid w:val="066E6FEA"/>
    <w:rsid w:val="067C1790"/>
    <w:rsid w:val="067D6DB8"/>
    <w:rsid w:val="069271F5"/>
    <w:rsid w:val="06984400"/>
    <w:rsid w:val="06A74C05"/>
    <w:rsid w:val="06B4093A"/>
    <w:rsid w:val="06C34D8E"/>
    <w:rsid w:val="06D020E0"/>
    <w:rsid w:val="06ED199B"/>
    <w:rsid w:val="06EE4389"/>
    <w:rsid w:val="06EF716D"/>
    <w:rsid w:val="07010286"/>
    <w:rsid w:val="070241E9"/>
    <w:rsid w:val="07106769"/>
    <w:rsid w:val="071A4087"/>
    <w:rsid w:val="071B04B1"/>
    <w:rsid w:val="07203EF1"/>
    <w:rsid w:val="073D0D2B"/>
    <w:rsid w:val="074B37DE"/>
    <w:rsid w:val="07525D62"/>
    <w:rsid w:val="075F4260"/>
    <w:rsid w:val="076F68F3"/>
    <w:rsid w:val="078134DF"/>
    <w:rsid w:val="07882FBE"/>
    <w:rsid w:val="078B6222"/>
    <w:rsid w:val="079727D2"/>
    <w:rsid w:val="079F7CA9"/>
    <w:rsid w:val="07A1167C"/>
    <w:rsid w:val="07AE108C"/>
    <w:rsid w:val="07B27B3D"/>
    <w:rsid w:val="07BA4CCA"/>
    <w:rsid w:val="07C210D3"/>
    <w:rsid w:val="07C43646"/>
    <w:rsid w:val="07D17825"/>
    <w:rsid w:val="07D46474"/>
    <w:rsid w:val="07F60E79"/>
    <w:rsid w:val="0810594A"/>
    <w:rsid w:val="081348AE"/>
    <w:rsid w:val="081B6711"/>
    <w:rsid w:val="081E5651"/>
    <w:rsid w:val="083539DF"/>
    <w:rsid w:val="084D1E2B"/>
    <w:rsid w:val="08547508"/>
    <w:rsid w:val="08615E14"/>
    <w:rsid w:val="088A0187"/>
    <w:rsid w:val="08931EB9"/>
    <w:rsid w:val="08B46DEE"/>
    <w:rsid w:val="08BE644F"/>
    <w:rsid w:val="08BF6A3F"/>
    <w:rsid w:val="08CD18C2"/>
    <w:rsid w:val="08D67A04"/>
    <w:rsid w:val="08DB1649"/>
    <w:rsid w:val="08DE7603"/>
    <w:rsid w:val="08E01623"/>
    <w:rsid w:val="08F911E2"/>
    <w:rsid w:val="08FD1E49"/>
    <w:rsid w:val="090066FB"/>
    <w:rsid w:val="09193480"/>
    <w:rsid w:val="092903B1"/>
    <w:rsid w:val="09392DE8"/>
    <w:rsid w:val="09564770"/>
    <w:rsid w:val="095E1A3B"/>
    <w:rsid w:val="095F2523"/>
    <w:rsid w:val="096C6A74"/>
    <w:rsid w:val="09712142"/>
    <w:rsid w:val="0976107E"/>
    <w:rsid w:val="09772C47"/>
    <w:rsid w:val="09865AC0"/>
    <w:rsid w:val="0987783C"/>
    <w:rsid w:val="098D4755"/>
    <w:rsid w:val="09941D3F"/>
    <w:rsid w:val="09942912"/>
    <w:rsid w:val="099D6E4D"/>
    <w:rsid w:val="09A9376A"/>
    <w:rsid w:val="09AE11F7"/>
    <w:rsid w:val="09B84622"/>
    <w:rsid w:val="09B96184"/>
    <w:rsid w:val="09C45552"/>
    <w:rsid w:val="09CE177B"/>
    <w:rsid w:val="09D443EF"/>
    <w:rsid w:val="09DA3055"/>
    <w:rsid w:val="09DB293D"/>
    <w:rsid w:val="09E52755"/>
    <w:rsid w:val="09EA6024"/>
    <w:rsid w:val="09FB48BE"/>
    <w:rsid w:val="0A017F6F"/>
    <w:rsid w:val="0A0D7F05"/>
    <w:rsid w:val="0A2E2DC6"/>
    <w:rsid w:val="0A2F05B8"/>
    <w:rsid w:val="0A2F6943"/>
    <w:rsid w:val="0A310D95"/>
    <w:rsid w:val="0A442F3E"/>
    <w:rsid w:val="0A5B02BB"/>
    <w:rsid w:val="0A6527F0"/>
    <w:rsid w:val="0A67309C"/>
    <w:rsid w:val="0A6A061B"/>
    <w:rsid w:val="0A6C53BD"/>
    <w:rsid w:val="0A7026DC"/>
    <w:rsid w:val="0A7D6CA0"/>
    <w:rsid w:val="0A91410C"/>
    <w:rsid w:val="0A9F4449"/>
    <w:rsid w:val="0AAB1C3E"/>
    <w:rsid w:val="0AAD6510"/>
    <w:rsid w:val="0AB03822"/>
    <w:rsid w:val="0AB511CC"/>
    <w:rsid w:val="0AD1042D"/>
    <w:rsid w:val="0AD211EC"/>
    <w:rsid w:val="0AD52C15"/>
    <w:rsid w:val="0AFF7223"/>
    <w:rsid w:val="0B03303B"/>
    <w:rsid w:val="0B177AE4"/>
    <w:rsid w:val="0B1E1622"/>
    <w:rsid w:val="0B1E4234"/>
    <w:rsid w:val="0B210FF4"/>
    <w:rsid w:val="0B214EC8"/>
    <w:rsid w:val="0B4C4CA4"/>
    <w:rsid w:val="0B4C67B5"/>
    <w:rsid w:val="0B5625FF"/>
    <w:rsid w:val="0B5C0F89"/>
    <w:rsid w:val="0B5C2E5A"/>
    <w:rsid w:val="0B671C59"/>
    <w:rsid w:val="0B6A2060"/>
    <w:rsid w:val="0B6D7F8B"/>
    <w:rsid w:val="0B7456C3"/>
    <w:rsid w:val="0B825193"/>
    <w:rsid w:val="0B8437E7"/>
    <w:rsid w:val="0B844680"/>
    <w:rsid w:val="0B8D3582"/>
    <w:rsid w:val="0B9B252E"/>
    <w:rsid w:val="0BA86BCF"/>
    <w:rsid w:val="0BC504C7"/>
    <w:rsid w:val="0BC52D14"/>
    <w:rsid w:val="0BC6680E"/>
    <w:rsid w:val="0BD15A0C"/>
    <w:rsid w:val="0BD506F4"/>
    <w:rsid w:val="0BD654CD"/>
    <w:rsid w:val="0BE74C1A"/>
    <w:rsid w:val="0BEF058D"/>
    <w:rsid w:val="0BFB2986"/>
    <w:rsid w:val="0BFD70B9"/>
    <w:rsid w:val="0C010F49"/>
    <w:rsid w:val="0C0254AB"/>
    <w:rsid w:val="0C0517F8"/>
    <w:rsid w:val="0C0C7624"/>
    <w:rsid w:val="0C354CA2"/>
    <w:rsid w:val="0C3A499F"/>
    <w:rsid w:val="0C3C1277"/>
    <w:rsid w:val="0C3F652C"/>
    <w:rsid w:val="0C5B1651"/>
    <w:rsid w:val="0C6A2581"/>
    <w:rsid w:val="0C6C1A7E"/>
    <w:rsid w:val="0C7E1018"/>
    <w:rsid w:val="0C7F2301"/>
    <w:rsid w:val="0C7F6489"/>
    <w:rsid w:val="0C815E9E"/>
    <w:rsid w:val="0C981DBF"/>
    <w:rsid w:val="0C984295"/>
    <w:rsid w:val="0CAE3418"/>
    <w:rsid w:val="0CBB578A"/>
    <w:rsid w:val="0CD342C0"/>
    <w:rsid w:val="0CD636EC"/>
    <w:rsid w:val="0CE72916"/>
    <w:rsid w:val="0CF7154E"/>
    <w:rsid w:val="0D0365E6"/>
    <w:rsid w:val="0D0F45AD"/>
    <w:rsid w:val="0D2248EA"/>
    <w:rsid w:val="0D3A4CFC"/>
    <w:rsid w:val="0D3F0D33"/>
    <w:rsid w:val="0D401645"/>
    <w:rsid w:val="0D49074A"/>
    <w:rsid w:val="0D5C24F9"/>
    <w:rsid w:val="0D6F127E"/>
    <w:rsid w:val="0D777DEE"/>
    <w:rsid w:val="0D78660A"/>
    <w:rsid w:val="0D7B7804"/>
    <w:rsid w:val="0D8205BD"/>
    <w:rsid w:val="0D8E2736"/>
    <w:rsid w:val="0D9C6CDB"/>
    <w:rsid w:val="0DAE7784"/>
    <w:rsid w:val="0DB86A13"/>
    <w:rsid w:val="0DBB3214"/>
    <w:rsid w:val="0DC71A36"/>
    <w:rsid w:val="0DCB220A"/>
    <w:rsid w:val="0DE30F5D"/>
    <w:rsid w:val="0DF70178"/>
    <w:rsid w:val="0E014504"/>
    <w:rsid w:val="0E1171EA"/>
    <w:rsid w:val="0E176264"/>
    <w:rsid w:val="0E4168D4"/>
    <w:rsid w:val="0E44065A"/>
    <w:rsid w:val="0E486F1E"/>
    <w:rsid w:val="0E4A6C28"/>
    <w:rsid w:val="0E4D0134"/>
    <w:rsid w:val="0E50142D"/>
    <w:rsid w:val="0E65495E"/>
    <w:rsid w:val="0E6F26FB"/>
    <w:rsid w:val="0E740ECE"/>
    <w:rsid w:val="0E7C070E"/>
    <w:rsid w:val="0E7D4BB9"/>
    <w:rsid w:val="0E836F21"/>
    <w:rsid w:val="0E85455D"/>
    <w:rsid w:val="0E913E6E"/>
    <w:rsid w:val="0E973A69"/>
    <w:rsid w:val="0E981D86"/>
    <w:rsid w:val="0E9822E8"/>
    <w:rsid w:val="0E997FE5"/>
    <w:rsid w:val="0E9F5CF3"/>
    <w:rsid w:val="0EA65EF1"/>
    <w:rsid w:val="0EAB581F"/>
    <w:rsid w:val="0EB01965"/>
    <w:rsid w:val="0EB633D9"/>
    <w:rsid w:val="0EBC4089"/>
    <w:rsid w:val="0EC224D5"/>
    <w:rsid w:val="0EC40DCA"/>
    <w:rsid w:val="0EC55BF5"/>
    <w:rsid w:val="0ED25BA6"/>
    <w:rsid w:val="0ED472D6"/>
    <w:rsid w:val="0EDF4E7C"/>
    <w:rsid w:val="0EDF7256"/>
    <w:rsid w:val="0EDF78EC"/>
    <w:rsid w:val="0EE44596"/>
    <w:rsid w:val="0EF04C39"/>
    <w:rsid w:val="0EF331DC"/>
    <w:rsid w:val="0F23590D"/>
    <w:rsid w:val="0F2C41CE"/>
    <w:rsid w:val="0F3B100B"/>
    <w:rsid w:val="0F413A6B"/>
    <w:rsid w:val="0F511440"/>
    <w:rsid w:val="0F597D2B"/>
    <w:rsid w:val="0F6B69E6"/>
    <w:rsid w:val="0F6D453B"/>
    <w:rsid w:val="0F700740"/>
    <w:rsid w:val="0F784778"/>
    <w:rsid w:val="0F810E9F"/>
    <w:rsid w:val="0F89215E"/>
    <w:rsid w:val="0F9C4063"/>
    <w:rsid w:val="0FAB1E67"/>
    <w:rsid w:val="0FB77A13"/>
    <w:rsid w:val="0FBC57C0"/>
    <w:rsid w:val="0FBD7320"/>
    <w:rsid w:val="0FBE40CD"/>
    <w:rsid w:val="0FC47161"/>
    <w:rsid w:val="0FCC07F4"/>
    <w:rsid w:val="0FCE48F6"/>
    <w:rsid w:val="0FDD7C8F"/>
    <w:rsid w:val="0FE25E26"/>
    <w:rsid w:val="0FF124F0"/>
    <w:rsid w:val="0FF27C75"/>
    <w:rsid w:val="0FF51B44"/>
    <w:rsid w:val="0FFA769E"/>
    <w:rsid w:val="0FFD3763"/>
    <w:rsid w:val="0FFD7E18"/>
    <w:rsid w:val="0FFE2D95"/>
    <w:rsid w:val="100A2A84"/>
    <w:rsid w:val="1015521C"/>
    <w:rsid w:val="10190390"/>
    <w:rsid w:val="1024738C"/>
    <w:rsid w:val="103074A4"/>
    <w:rsid w:val="10362C26"/>
    <w:rsid w:val="103E26EE"/>
    <w:rsid w:val="10421258"/>
    <w:rsid w:val="104E2DB8"/>
    <w:rsid w:val="105F615E"/>
    <w:rsid w:val="10697481"/>
    <w:rsid w:val="10761009"/>
    <w:rsid w:val="10784A30"/>
    <w:rsid w:val="107E1D28"/>
    <w:rsid w:val="109346BA"/>
    <w:rsid w:val="109C27AC"/>
    <w:rsid w:val="10A35CFB"/>
    <w:rsid w:val="10A926B4"/>
    <w:rsid w:val="10B56169"/>
    <w:rsid w:val="10B64C68"/>
    <w:rsid w:val="10D67C00"/>
    <w:rsid w:val="10DF46E6"/>
    <w:rsid w:val="10F16032"/>
    <w:rsid w:val="10F36698"/>
    <w:rsid w:val="10F555B9"/>
    <w:rsid w:val="110847AA"/>
    <w:rsid w:val="11093E8E"/>
    <w:rsid w:val="11094750"/>
    <w:rsid w:val="110B0C32"/>
    <w:rsid w:val="110E0640"/>
    <w:rsid w:val="110E22B2"/>
    <w:rsid w:val="11166585"/>
    <w:rsid w:val="11252757"/>
    <w:rsid w:val="11381078"/>
    <w:rsid w:val="113832BD"/>
    <w:rsid w:val="1138366C"/>
    <w:rsid w:val="11386B92"/>
    <w:rsid w:val="1142142D"/>
    <w:rsid w:val="115619BD"/>
    <w:rsid w:val="116326B6"/>
    <w:rsid w:val="11657599"/>
    <w:rsid w:val="1182367E"/>
    <w:rsid w:val="118F20F0"/>
    <w:rsid w:val="11AA141F"/>
    <w:rsid w:val="11AB3608"/>
    <w:rsid w:val="11B36E5C"/>
    <w:rsid w:val="11B63D10"/>
    <w:rsid w:val="11C03964"/>
    <w:rsid w:val="11C67F9C"/>
    <w:rsid w:val="11CA0EC8"/>
    <w:rsid w:val="11D06FB5"/>
    <w:rsid w:val="11D61453"/>
    <w:rsid w:val="11DF7916"/>
    <w:rsid w:val="11E85055"/>
    <w:rsid w:val="11EB0245"/>
    <w:rsid w:val="11EB03E8"/>
    <w:rsid w:val="11F35B9A"/>
    <w:rsid w:val="11FC5539"/>
    <w:rsid w:val="12060AC1"/>
    <w:rsid w:val="121D6A8E"/>
    <w:rsid w:val="12247759"/>
    <w:rsid w:val="122A0EC2"/>
    <w:rsid w:val="122A14A8"/>
    <w:rsid w:val="122A6356"/>
    <w:rsid w:val="122F70E6"/>
    <w:rsid w:val="12353A38"/>
    <w:rsid w:val="12454595"/>
    <w:rsid w:val="124555A0"/>
    <w:rsid w:val="124F6BF8"/>
    <w:rsid w:val="12527B47"/>
    <w:rsid w:val="125604F3"/>
    <w:rsid w:val="125F5D8E"/>
    <w:rsid w:val="12727DA6"/>
    <w:rsid w:val="12731475"/>
    <w:rsid w:val="127A5CBE"/>
    <w:rsid w:val="12831FD8"/>
    <w:rsid w:val="12921E76"/>
    <w:rsid w:val="12937E56"/>
    <w:rsid w:val="129505BC"/>
    <w:rsid w:val="129A23CF"/>
    <w:rsid w:val="129F7FD1"/>
    <w:rsid w:val="12A05C8E"/>
    <w:rsid w:val="12A637B6"/>
    <w:rsid w:val="12A721AB"/>
    <w:rsid w:val="12A9508B"/>
    <w:rsid w:val="12AA3981"/>
    <w:rsid w:val="12B84F0D"/>
    <w:rsid w:val="12C059DF"/>
    <w:rsid w:val="12D2740C"/>
    <w:rsid w:val="12E61FC8"/>
    <w:rsid w:val="12EF12CC"/>
    <w:rsid w:val="12F50B90"/>
    <w:rsid w:val="12FC3C3E"/>
    <w:rsid w:val="130100E0"/>
    <w:rsid w:val="13025D0D"/>
    <w:rsid w:val="13096F29"/>
    <w:rsid w:val="131C13A9"/>
    <w:rsid w:val="132847E3"/>
    <w:rsid w:val="133E5DF7"/>
    <w:rsid w:val="134C2116"/>
    <w:rsid w:val="13521337"/>
    <w:rsid w:val="13592639"/>
    <w:rsid w:val="135F6DFD"/>
    <w:rsid w:val="13676827"/>
    <w:rsid w:val="137B4C85"/>
    <w:rsid w:val="137F60C1"/>
    <w:rsid w:val="138D1F7C"/>
    <w:rsid w:val="13957A8B"/>
    <w:rsid w:val="1399374C"/>
    <w:rsid w:val="139C5EE1"/>
    <w:rsid w:val="139D681F"/>
    <w:rsid w:val="139F09FA"/>
    <w:rsid w:val="13A17846"/>
    <w:rsid w:val="13A609E7"/>
    <w:rsid w:val="13AD4474"/>
    <w:rsid w:val="13B1147D"/>
    <w:rsid w:val="13B4698A"/>
    <w:rsid w:val="13BD019D"/>
    <w:rsid w:val="13CE63E6"/>
    <w:rsid w:val="13E21CD1"/>
    <w:rsid w:val="13E342D2"/>
    <w:rsid w:val="13E346E1"/>
    <w:rsid w:val="13E57A43"/>
    <w:rsid w:val="13FC3E5D"/>
    <w:rsid w:val="14047949"/>
    <w:rsid w:val="140719E6"/>
    <w:rsid w:val="14093A6F"/>
    <w:rsid w:val="14266D5F"/>
    <w:rsid w:val="142733EA"/>
    <w:rsid w:val="145A1D34"/>
    <w:rsid w:val="146042B9"/>
    <w:rsid w:val="14604F96"/>
    <w:rsid w:val="14634C74"/>
    <w:rsid w:val="14656774"/>
    <w:rsid w:val="146975C2"/>
    <w:rsid w:val="14762D0E"/>
    <w:rsid w:val="147809E1"/>
    <w:rsid w:val="149A22F6"/>
    <w:rsid w:val="149D1367"/>
    <w:rsid w:val="149E0BD6"/>
    <w:rsid w:val="149F0103"/>
    <w:rsid w:val="14A6546F"/>
    <w:rsid w:val="14B41CB6"/>
    <w:rsid w:val="14BB16C1"/>
    <w:rsid w:val="14BC76E5"/>
    <w:rsid w:val="14BF4344"/>
    <w:rsid w:val="14C352AB"/>
    <w:rsid w:val="14C43015"/>
    <w:rsid w:val="14C72E33"/>
    <w:rsid w:val="14D14737"/>
    <w:rsid w:val="14DB56EA"/>
    <w:rsid w:val="14DD64AD"/>
    <w:rsid w:val="14E1675A"/>
    <w:rsid w:val="14E243FA"/>
    <w:rsid w:val="14ED01B3"/>
    <w:rsid w:val="15000605"/>
    <w:rsid w:val="15186E7A"/>
    <w:rsid w:val="151A2CDD"/>
    <w:rsid w:val="151D5AB3"/>
    <w:rsid w:val="152B59BE"/>
    <w:rsid w:val="153C0833"/>
    <w:rsid w:val="154A78EE"/>
    <w:rsid w:val="155852D1"/>
    <w:rsid w:val="155C4C28"/>
    <w:rsid w:val="155D389D"/>
    <w:rsid w:val="156241AD"/>
    <w:rsid w:val="156E7678"/>
    <w:rsid w:val="157F5F3D"/>
    <w:rsid w:val="159A3460"/>
    <w:rsid w:val="15A518E9"/>
    <w:rsid w:val="15B266E7"/>
    <w:rsid w:val="15BD6D37"/>
    <w:rsid w:val="15C1546A"/>
    <w:rsid w:val="15CB1A43"/>
    <w:rsid w:val="15D2294C"/>
    <w:rsid w:val="15D95D02"/>
    <w:rsid w:val="15DE0CCC"/>
    <w:rsid w:val="15DE48AA"/>
    <w:rsid w:val="15E1693C"/>
    <w:rsid w:val="15F076A6"/>
    <w:rsid w:val="15F647D0"/>
    <w:rsid w:val="1600660E"/>
    <w:rsid w:val="161A12E7"/>
    <w:rsid w:val="161B6920"/>
    <w:rsid w:val="16223B81"/>
    <w:rsid w:val="16270BED"/>
    <w:rsid w:val="162E0482"/>
    <w:rsid w:val="16303C30"/>
    <w:rsid w:val="1645537C"/>
    <w:rsid w:val="165D0B20"/>
    <w:rsid w:val="165F29AD"/>
    <w:rsid w:val="16717134"/>
    <w:rsid w:val="16773DA9"/>
    <w:rsid w:val="16783169"/>
    <w:rsid w:val="167F185A"/>
    <w:rsid w:val="16833D6B"/>
    <w:rsid w:val="168827BB"/>
    <w:rsid w:val="16884A5B"/>
    <w:rsid w:val="168855BC"/>
    <w:rsid w:val="168E4861"/>
    <w:rsid w:val="16962C45"/>
    <w:rsid w:val="169D633A"/>
    <w:rsid w:val="16AF52BC"/>
    <w:rsid w:val="16C23278"/>
    <w:rsid w:val="16C3321D"/>
    <w:rsid w:val="16CA18BE"/>
    <w:rsid w:val="16D30710"/>
    <w:rsid w:val="16DE5DCD"/>
    <w:rsid w:val="16E3612D"/>
    <w:rsid w:val="16F57D88"/>
    <w:rsid w:val="1701270F"/>
    <w:rsid w:val="17190EAD"/>
    <w:rsid w:val="17233957"/>
    <w:rsid w:val="17257E6A"/>
    <w:rsid w:val="172B0CA4"/>
    <w:rsid w:val="172B431A"/>
    <w:rsid w:val="172D25D1"/>
    <w:rsid w:val="173C4F5C"/>
    <w:rsid w:val="173C59CD"/>
    <w:rsid w:val="173C6D9B"/>
    <w:rsid w:val="17504B00"/>
    <w:rsid w:val="17533F7B"/>
    <w:rsid w:val="17555A33"/>
    <w:rsid w:val="175D7DCB"/>
    <w:rsid w:val="176E37C0"/>
    <w:rsid w:val="176F63F4"/>
    <w:rsid w:val="177D764E"/>
    <w:rsid w:val="17814641"/>
    <w:rsid w:val="178733D8"/>
    <w:rsid w:val="17A34DC3"/>
    <w:rsid w:val="17AC2CDF"/>
    <w:rsid w:val="17BE5764"/>
    <w:rsid w:val="17C02955"/>
    <w:rsid w:val="17D0765E"/>
    <w:rsid w:val="17E1659F"/>
    <w:rsid w:val="17F75EA0"/>
    <w:rsid w:val="17F83137"/>
    <w:rsid w:val="180954C1"/>
    <w:rsid w:val="1816284D"/>
    <w:rsid w:val="181B2821"/>
    <w:rsid w:val="181D5806"/>
    <w:rsid w:val="1824493C"/>
    <w:rsid w:val="18284F0C"/>
    <w:rsid w:val="18295AD9"/>
    <w:rsid w:val="182C3E2A"/>
    <w:rsid w:val="183930B0"/>
    <w:rsid w:val="183A3546"/>
    <w:rsid w:val="183F0EA9"/>
    <w:rsid w:val="184A7867"/>
    <w:rsid w:val="185871DF"/>
    <w:rsid w:val="185E49B4"/>
    <w:rsid w:val="18626AF6"/>
    <w:rsid w:val="18810459"/>
    <w:rsid w:val="18950F85"/>
    <w:rsid w:val="189917C4"/>
    <w:rsid w:val="18A53A61"/>
    <w:rsid w:val="18A57935"/>
    <w:rsid w:val="18B12020"/>
    <w:rsid w:val="18B262F7"/>
    <w:rsid w:val="18C45EB5"/>
    <w:rsid w:val="18D636B0"/>
    <w:rsid w:val="18DA686A"/>
    <w:rsid w:val="18DE4004"/>
    <w:rsid w:val="18E263FE"/>
    <w:rsid w:val="18E26B60"/>
    <w:rsid w:val="18E36A88"/>
    <w:rsid w:val="18E43848"/>
    <w:rsid w:val="18EF6F6A"/>
    <w:rsid w:val="19101703"/>
    <w:rsid w:val="192155E5"/>
    <w:rsid w:val="192447C5"/>
    <w:rsid w:val="193819F6"/>
    <w:rsid w:val="19385F26"/>
    <w:rsid w:val="19424962"/>
    <w:rsid w:val="19443B37"/>
    <w:rsid w:val="19447ACE"/>
    <w:rsid w:val="19465F9E"/>
    <w:rsid w:val="19501C54"/>
    <w:rsid w:val="195A51EA"/>
    <w:rsid w:val="195E486D"/>
    <w:rsid w:val="1963665A"/>
    <w:rsid w:val="196426B1"/>
    <w:rsid w:val="196569EA"/>
    <w:rsid w:val="198A0B2E"/>
    <w:rsid w:val="198E36B4"/>
    <w:rsid w:val="19945392"/>
    <w:rsid w:val="19950B90"/>
    <w:rsid w:val="199969C7"/>
    <w:rsid w:val="19B22870"/>
    <w:rsid w:val="19C40F6B"/>
    <w:rsid w:val="19C66F6C"/>
    <w:rsid w:val="19DC46BF"/>
    <w:rsid w:val="19DE2365"/>
    <w:rsid w:val="19E06EFC"/>
    <w:rsid w:val="19EA439C"/>
    <w:rsid w:val="19F8661C"/>
    <w:rsid w:val="19FA5C8A"/>
    <w:rsid w:val="1A027EDB"/>
    <w:rsid w:val="1A107549"/>
    <w:rsid w:val="1A1663D4"/>
    <w:rsid w:val="1A263FDE"/>
    <w:rsid w:val="1A2F2A5E"/>
    <w:rsid w:val="1A402A83"/>
    <w:rsid w:val="1A412A5F"/>
    <w:rsid w:val="1A587316"/>
    <w:rsid w:val="1A671C93"/>
    <w:rsid w:val="1A6F695E"/>
    <w:rsid w:val="1A78055F"/>
    <w:rsid w:val="1A7973D1"/>
    <w:rsid w:val="1A7C5B0B"/>
    <w:rsid w:val="1A95602B"/>
    <w:rsid w:val="1A992AA9"/>
    <w:rsid w:val="1A9B372A"/>
    <w:rsid w:val="1AA55B7F"/>
    <w:rsid w:val="1AAE178F"/>
    <w:rsid w:val="1AB25285"/>
    <w:rsid w:val="1ABD5800"/>
    <w:rsid w:val="1AEF1AE4"/>
    <w:rsid w:val="1AF81775"/>
    <w:rsid w:val="1AFD16E0"/>
    <w:rsid w:val="1AFE56C7"/>
    <w:rsid w:val="1B3237B5"/>
    <w:rsid w:val="1B32716B"/>
    <w:rsid w:val="1B4972A7"/>
    <w:rsid w:val="1B511989"/>
    <w:rsid w:val="1B5418FE"/>
    <w:rsid w:val="1B8841DE"/>
    <w:rsid w:val="1B98518A"/>
    <w:rsid w:val="1BA15FE4"/>
    <w:rsid w:val="1BA42378"/>
    <w:rsid w:val="1BA61A06"/>
    <w:rsid w:val="1BA957E2"/>
    <w:rsid w:val="1BB1659A"/>
    <w:rsid w:val="1BB64B12"/>
    <w:rsid w:val="1BDF0CB3"/>
    <w:rsid w:val="1BE60593"/>
    <w:rsid w:val="1BE81287"/>
    <w:rsid w:val="1BF3115B"/>
    <w:rsid w:val="1BF76A7A"/>
    <w:rsid w:val="1BF93BFC"/>
    <w:rsid w:val="1C0D362D"/>
    <w:rsid w:val="1C121A3A"/>
    <w:rsid w:val="1C167667"/>
    <w:rsid w:val="1C266E97"/>
    <w:rsid w:val="1C2B2DDB"/>
    <w:rsid w:val="1C300581"/>
    <w:rsid w:val="1C321D73"/>
    <w:rsid w:val="1C3B3467"/>
    <w:rsid w:val="1C413C84"/>
    <w:rsid w:val="1C4224CA"/>
    <w:rsid w:val="1C43089F"/>
    <w:rsid w:val="1C486B9A"/>
    <w:rsid w:val="1C4A36C8"/>
    <w:rsid w:val="1C570DDB"/>
    <w:rsid w:val="1C6A6813"/>
    <w:rsid w:val="1C8E42F9"/>
    <w:rsid w:val="1CA31D49"/>
    <w:rsid w:val="1CAE3FF4"/>
    <w:rsid w:val="1CB00001"/>
    <w:rsid w:val="1CBD4F58"/>
    <w:rsid w:val="1CCE4D04"/>
    <w:rsid w:val="1CD65C5D"/>
    <w:rsid w:val="1CE10CB1"/>
    <w:rsid w:val="1CE17219"/>
    <w:rsid w:val="1CE654FE"/>
    <w:rsid w:val="1CE90CEC"/>
    <w:rsid w:val="1CF7183B"/>
    <w:rsid w:val="1CFC7CE7"/>
    <w:rsid w:val="1D0A638B"/>
    <w:rsid w:val="1D0F2537"/>
    <w:rsid w:val="1D1E1666"/>
    <w:rsid w:val="1D2364DF"/>
    <w:rsid w:val="1D260219"/>
    <w:rsid w:val="1D4A1CE0"/>
    <w:rsid w:val="1D4F1B96"/>
    <w:rsid w:val="1D64043C"/>
    <w:rsid w:val="1D6B214C"/>
    <w:rsid w:val="1D6D0733"/>
    <w:rsid w:val="1D7B10C7"/>
    <w:rsid w:val="1D812265"/>
    <w:rsid w:val="1D8704DB"/>
    <w:rsid w:val="1D8D1FD3"/>
    <w:rsid w:val="1D941AC7"/>
    <w:rsid w:val="1D987CBA"/>
    <w:rsid w:val="1D9C098F"/>
    <w:rsid w:val="1D9C5FC4"/>
    <w:rsid w:val="1DA100CA"/>
    <w:rsid w:val="1DAA1F7E"/>
    <w:rsid w:val="1DBB675A"/>
    <w:rsid w:val="1DBD2F9A"/>
    <w:rsid w:val="1DC0455E"/>
    <w:rsid w:val="1DC22763"/>
    <w:rsid w:val="1DCE3FFE"/>
    <w:rsid w:val="1DD832F6"/>
    <w:rsid w:val="1DD83933"/>
    <w:rsid w:val="1DDB45A9"/>
    <w:rsid w:val="1DE70C5B"/>
    <w:rsid w:val="1DE73511"/>
    <w:rsid w:val="1DF94C86"/>
    <w:rsid w:val="1E0B50F4"/>
    <w:rsid w:val="1E102152"/>
    <w:rsid w:val="1E283E02"/>
    <w:rsid w:val="1E460348"/>
    <w:rsid w:val="1E4A29F5"/>
    <w:rsid w:val="1E516D5B"/>
    <w:rsid w:val="1E52442C"/>
    <w:rsid w:val="1E644095"/>
    <w:rsid w:val="1E7A27EB"/>
    <w:rsid w:val="1E7E3792"/>
    <w:rsid w:val="1E834016"/>
    <w:rsid w:val="1E886A65"/>
    <w:rsid w:val="1EA255E0"/>
    <w:rsid w:val="1EA87ECC"/>
    <w:rsid w:val="1EA94235"/>
    <w:rsid w:val="1EAF3C67"/>
    <w:rsid w:val="1EBB0A15"/>
    <w:rsid w:val="1EC633BA"/>
    <w:rsid w:val="1EE259DB"/>
    <w:rsid w:val="1EE4183B"/>
    <w:rsid w:val="1EE75A1B"/>
    <w:rsid w:val="1EF20D52"/>
    <w:rsid w:val="1F112940"/>
    <w:rsid w:val="1F200118"/>
    <w:rsid w:val="1F275E44"/>
    <w:rsid w:val="1F2968FE"/>
    <w:rsid w:val="1F346147"/>
    <w:rsid w:val="1F3A5D79"/>
    <w:rsid w:val="1F473ECD"/>
    <w:rsid w:val="1F61582F"/>
    <w:rsid w:val="1F6571E7"/>
    <w:rsid w:val="1F6F453F"/>
    <w:rsid w:val="1F7B1D02"/>
    <w:rsid w:val="1F7C2C50"/>
    <w:rsid w:val="1F972CE6"/>
    <w:rsid w:val="1F994EA3"/>
    <w:rsid w:val="1F9C32DD"/>
    <w:rsid w:val="1FBD6756"/>
    <w:rsid w:val="1FC3430B"/>
    <w:rsid w:val="1FC63586"/>
    <w:rsid w:val="1FE864AB"/>
    <w:rsid w:val="1FF354D1"/>
    <w:rsid w:val="1FFA7348"/>
    <w:rsid w:val="1FFC2901"/>
    <w:rsid w:val="1FFF2EF5"/>
    <w:rsid w:val="200529AD"/>
    <w:rsid w:val="20062098"/>
    <w:rsid w:val="200B5B4F"/>
    <w:rsid w:val="2018599A"/>
    <w:rsid w:val="202D110C"/>
    <w:rsid w:val="20325711"/>
    <w:rsid w:val="2033143A"/>
    <w:rsid w:val="203634F7"/>
    <w:rsid w:val="20471356"/>
    <w:rsid w:val="20594D80"/>
    <w:rsid w:val="205E4D68"/>
    <w:rsid w:val="206435D7"/>
    <w:rsid w:val="206D35F1"/>
    <w:rsid w:val="206D466F"/>
    <w:rsid w:val="206E723A"/>
    <w:rsid w:val="20702A7E"/>
    <w:rsid w:val="2071563A"/>
    <w:rsid w:val="20787351"/>
    <w:rsid w:val="2079128E"/>
    <w:rsid w:val="208A5CA8"/>
    <w:rsid w:val="20A72B6F"/>
    <w:rsid w:val="20AA0ECB"/>
    <w:rsid w:val="20B36581"/>
    <w:rsid w:val="20B60893"/>
    <w:rsid w:val="20B66441"/>
    <w:rsid w:val="20B77B53"/>
    <w:rsid w:val="20BA2C6B"/>
    <w:rsid w:val="20BA463F"/>
    <w:rsid w:val="20BD1651"/>
    <w:rsid w:val="20BD1763"/>
    <w:rsid w:val="20BF6BA7"/>
    <w:rsid w:val="20C20828"/>
    <w:rsid w:val="20C330DB"/>
    <w:rsid w:val="20CC7A11"/>
    <w:rsid w:val="20D76576"/>
    <w:rsid w:val="20E223C4"/>
    <w:rsid w:val="20E536B6"/>
    <w:rsid w:val="20EF7AA3"/>
    <w:rsid w:val="20FA2DBA"/>
    <w:rsid w:val="21040F03"/>
    <w:rsid w:val="210752C6"/>
    <w:rsid w:val="210A1FC8"/>
    <w:rsid w:val="21111320"/>
    <w:rsid w:val="21150C97"/>
    <w:rsid w:val="212719AD"/>
    <w:rsid w:val="214701FF"/>
    <w:rsid w:val="214A321C"/>
    <w:rsid w:val="214F69C3"/>
    <w:rsid w:val="21597BE7"/>
    <w:rsid w:val="21760F63"/>
    <w:rsid w:val="21832276"/>
    <w:rsid w:val="2188584E"/>
    <w:rsid w:val="21943617"/>
    <w:rsid w:val="219D5CF4"/>
    <w:rsid w:val="21D708FC"/>
    <w:rsid w:val="21E64786"/>
    <w:rsid w:val="21EC5D9B"/>
    <w:rsid w:val="21EC6AEC"/>
    <w:rsid w:val="21EE7310"/>
    <w:rsid w:val="21F962CD"/>
    <w:rsid w:val="22040412"/>
    <w:rsid w:val="22135B75"/>
    <w:rsid w:val="22226E2D"/>
    <w:rsid w:val="222C2F4E"/>
    <w:rsid w:val="222F68A5"/>
    <w:rsid w:val="223A1B30"/>
    <w:rsid w:val="223B0106"/>
    <w:rsid w:val="22460F9B"/>
    <w:rsid w:val="225215FB"/>
    <w:rsid w:val="22682ABA"/>
    <w:rsid w:val="226D1E72"/>
    <w:rsid w:val="227475A2"/>
    <w:rsid w:val="227576FF"/>
    <w:rsid w:val="228618EC"/>
    <w:rsid w:val="228864DE"/>
    <w:rsid w:val="22AB2187"/>
    <w:rsid w:val="22AE5BAD"/>
    <w:rsid w:val="22AF4D88"/>
    <w:rsid w:val="22CD7AC4"/>
    <w:rsid w:val="22E14913"/>
    <w:rsid w:val="22F61DC1"/>
    <w:rsid w:val="22F914EA"/>
    <w:rsid w:val="22FA40FC"/>
    <w:rsid w:val="23067F40"/>
    <w:rsid w:val="231430D2"/>
    <w:rsid w:val="231A4909"/>
    <w:rsid w:val="231D7CF3"/>
    <w:rsid w:val="231E592E"/>
    <w:rsid w:val="231E7BD2"/>
    <w:rsid w:val="2327191F"/>
    <w:rsid w:val="23273E23"/>
    <w:rsid w:val="232E371D"/>
    <w:rsid w:val="23384115"/>
    <w:rsid w:val="2347179E"/>
    <w:rsid w:val="23540162"/>
    <w:rsid w:val="235422BB"/>
    <w:rsid w:val="23603B5C"/>
    <w:rsid w:val="23704D42"/>
    <w:rsid w:val="23795955"/>
    <w:rsid w:val="237E1306"/>
    <w:rsid w:val="237F1759"/>
    <w:rsid w:val="23803936"/>
    <w:rsid w:val="238169E6"/>
    <w:rsid w:val="238925F8"/>
    <w:rsid w:val="23A00778"/>
    <w:rsid w:val="23A55874"/>
    <w:rsid w:val="23B86C1E"/>
    <w:rsid w:val="23C7201E"/>
    <w:rsid w:val="23CE2493"/>
    <w:rsid w:val="23E372C7"/>
    <w:rsid w:val="23EE53EE"/>
    <w:rsid w:val="23F37570"/>
    <w:rsid w:val="23FF389D"/>
    <w:rsid w:val="24051444"/>
    <w:rsid w:val="24084291"/>
    <w:rsid w:val="240932EA"/>
    <w:rsid w:val="24164AB9"/>
    <w:rsid w:val="2422188D"/>
    <w:rsid w:val="24250EB0"/>
    <w:rsid w:val="242669EB"/>
    <w:rsid w:val="24275BFF"/>
    <w:rsid w:val="243144DD"/>
    <w:rsid w:val="24385779"/>
    <w:rsid w:val="2439048D"/>
    <w:rsid w:val="24390703"/>
    <w:rsid w:val="243D1B12"/>
    <w:rsid w:val="244467AE"/>
    <w:rsid w:val="244B06CE"/>
    <w:rsid w:val="24595C73"/>
    <w:rsid w:val="2462713B"/>
    <w:rsid w:val="24634BD4"/>
    <w:rsid w:val="246D4098"/>
    <w:rsid w:val="246F4775"/>
    <w:rsid w:val="24722BBA"/>
    <w:rsid w:val="247923A6"/>
    <w:rsid w:val="2482408A"/>
    <w:rsid w:val="24915DE6"/>
    <w:rsid w:val="24952391"/>
    <w:rsid w:val="24967284"/>
    <w:rsid w:val="249F3EE3"/>
    <w:rsid w:val="24A221EB"/>
    <w:rsid w:val="24A252AF"/>
    <w:rsid w:val="24B4024C"/>
    <w:rsid w:val="24B84316"/>
    <w:rsid w:val="24C16969"/>
    <w:rsid w:val="24C84772"/>
    <w:rsid w:val="24C94374"/>
    <w:rsid w:val="24D460A8"/>
    <w:rsid w:val="24D52451"/>
    <w:rsid w:val="24D80201"/>
    <w:rsid w:val="24D8566C"/>
    <w:rsid w:val="24EC3B78"/>
    <w:rsid w:val="24F133E8"/>
    <w:rsid w:val="24F471BD"/>
    <w:rsid w:val="24FC01F0"/>
    <w:rsid w:val="2500512F"/>
    <w:rsid w:val="251958FB"/>
    <w:rsid w:val="2524326C"/>
    <w:rsid w:val="25395CD6"/>
    <w:rsid w:val="253B090B"/>
    <w:rsid w:val="25467A6A"/>
    <w:rsid w:val="254D6D91"/>
    <w:rsid w:val="25575A0D"/>
    <w:rsid w:val="256A5217"/>
    <w:rsid w:val="257A56A1"/>
    <w:rsid w:val="257B0359"/>
    <w:rsid w:val="2581650E"/>
    <w:rsid w:val="259C3E27"/>
    <w:rsid w:val="25A434FE"/>
    <w:rsid w:val="25A612D4"/>
    <w:rsid w:val="25A76945"/>
    <w:rsid w:val="25AB1780"/>
    <w:rsid w:val="25AE2A70"/>
    <w:rsid w:val="25B071DC"/>
    <w:rsid w:val="25B21673"/>
    <w:rsid w:val="25B34B3F"/>
    <w:rsid w:val="25B97A00"/>
    <w:rsid w:val="25BB0565"/>
    <w:rsid w:val="25BC078D"/>
    <w:rsid w:val="25CE3F53"/>
    <w:rsid w:val="25EB0FC4"/>
    <w:rsid w:val="25F76A2E"/>
    <w:rsid w:val="25FF490E"/>
    <w:rsid w:val="26045BA5"/>
    <w:rsid w:val="2608147E"/>
    <w:rsid w:val="2616589F"/>
    <w:rsid w:val="261B1965"/>
    <w:rsid w:val="261D5681"/>
    <w:rsid w:val="261E1EAF"/>
    <w:rsid w:val="2622515D"/>
    <w:rsid w:val="263006FF"/>
    <w:rsid w:val="2632779F"/>
    <w:rsid w:val="26343C0E"/>
    <w:rsid w:val="263F46CF"/>
    <w:rsid w:val="2648160D"/>
    <w:rsid w:val="264D54A2"/>
    <w:rsid w:val="26546311"/>
    <w:rsid w:val="265970D6"/>
    <w:rsid w:val="266A7F06"/>
    <w:rsid w:val="2672473F"/>
    <w:rsid w:val="267628A6"/>
    <w:rsid w:val="267642F1"/>
    <w:rsid w:val="267E0CF9"/>
    <w:rsid w:val="26930A96"/>
    <w:rsid w:val="26994EDC"/>
    <w:rsid w:val="26A154E9"/>
    <w:rsid w:val="26A250CF"/>
    <w:rsid w:val="26B600FB"/>
    <w:rsid w:val="26BC749F"/>
    <w:rsid w:val="26C65259"/>
    <w:rsid w:val="26D65B56"/>
    <w:rsid w:val="26DC3482"/>
    <w:rsid w:val="26E65B25"/>
    <w:rsid w:val="26E84D2B"/>
    <w:rsid w:val="26EC063F"/>
    <w:rsid w:val="27050675"/>
    <w:rsid w:val="2708144A"/>
    <w:rsid w:val="271040C1"/>
    <w:rsid w:val="27110DDA"/>
    <w:rsid w:val="27127E66"/>
    <w:rsid w:val="27195161"/>
    <w:rsid w:val="271C2021"/>
    <w:rsid w:val="27385D11"/>
    <w:rsid w:val="274E7CB5"/>
    <w:rsid w:val="274F1F02"/>
    <w:rsid w:val="274F4827"/>
    <w:rsid w:val="27512E91"/>
    <w:rsid w:val="275D29E0"/>
    <w:rsid w:val="27630444"/>
    <w:rsid w:val="276F21FD"/>
    <w:rsid w:val="27727E31"/>
    <w:rsid w:val="27762FBF"/>
    <w:rsid w:val="278A5388"/>
    <w:rsid w:val="278C5C0D"/>
    <w:rsid w:val="279244D2"/>
    <w:rsid w:val="279B2893"/>
    <w:rsid w:val="279B7BA8"/>
    <w:rsid w:val="27A30394"/>
    <w:rsid w:val="27A54E69"/>
    <w:rsid w:val="27A650A2"/>
    <w:rsid w:val="27AB6A48"/>
    <w:rsid w:val="27D36066"/>
    <w:rsid w:val="27D605AC"/>
    <w:rsid w:val="27D82D80"/>
    <w:rsid w:val="27D90366"/>
    <w:rsid w:val="27EA246C"/>
    <w:rsid w:val="27EC51D1"/>
    <w:rsid w:val="27F2052B"/>
    <w:rsid w:val="2800211B"/>
    <w:rsid w:val="280D010C"/>
    <w:rsid w:val="283748DE"/>
    <w:rsid w:val="2842661D"/>
    <w:rsid w:val="28461DD4"/>
    <w:rsid w:val="284A39DF"/>
    <w:rsid w:val="28592B32"/>
    <w:rsid w:val="285D0806"/>
    <w:rsid w:val="28640251"/>
    <w:rsid w:val="286F7AFC"/>
    <w:rsid w:val="28767569"/>
    <w:rsid w:val="287C5A7F"/>
    <w:rsid w:val="28994FB0"/>
    <w:rsid w:val="289F1006"/>
    <w:rsid w:val="28BC3ACC"/>
    <w:rsid w:val="28CD3212"/>
    <w:rsid w:val="28D215E5"/>
    <w:rsid w:val="28D8743F"/>
    <w:rsid w:val="28FA031C"/>
    <w:rsid w:val="28FB5098"/>
    <w:rsid w:val="28FC354A"/>
    <w:rsid w:val="290D6A87"/>
    <w:rsid w:val="290D6A89"/>
    <w:rsid w:val="29171209"/>
    <w:rsid w:val="291A7232"/>
    <w:rsid w:val="29206950"/>
    <w:rsid w:val="2923219A"/>
    <w:rsid w:val="29271D87"/>
    <w:rsid w:val="292C2CE7"/>
    <w:rsid w:val="29310CD2"/>
    <w:rsid w:val="2943618E"/>
    <w:rsid w:val="29442273"/>
    <w:rsid w:val="294D0EDE"/>
    <w:rsid w:val="29524C95"/>
    <w:rsid w:val="29542371"/>
    <w:rsid w:val="295B4611"/>
    <w:rsid w:val="2966697A"/>
    <w:rsid w:val="297010F4"/>
    <w:rsid w:val="29741B2A"/>
    <w:rsid w:val="2975147B"/>
    <w:rsid w:val="297A02CA"/>
    <w:rsid w:val="297C42B2"/>
    <w:rsid w:val="2988011B"/>
    <w:rsid w:val="298A7624"/>
    <w:rsid w:val="29976295"/>
    <w:rsid w:val="29A1563D"/>
    <w:rsid w:val="29A65BB9"/>
    <w:rsid w:val="29AF672C"/>
    <w:rsid w:val="29B24A91"/>
    <w:rsid w:val="29C0237F"/>
    <w:rsid w:val="29C2645F"/>
    <w:rsid w:val="29C56187"/>
    <w:rsid w:val="29F93DD5"/>
    <w:rsid w:val="2A0030F5"/>
    <w:rsid w:val="2A007F4D"/>
    <w:rsid w:val="2A0506A0"/>
    <w:rsid w:val="2A0531B5"/>
    <w:rsid w:val="2A0565D5"/>
    <w:rsid w:val="2A065CAC"/>
    <w:rsid w:val="2A075FF1"/>
    <w:rsid w:val="2A0A0D9A"/>
    <w:rsid w:val="2A0E7FF9"/>
    <w:rsid w:val="2A0F0545"/>
    <w:rsid w:val="2A122F64"/>
    <w:rsid w:val="2A25266A"/>
    <w:rsid w:val="2A2811FA"/>
    <w:rsid w:val="2A2C2886"/>
    <w:rsid w:val="2A344036"/>
    <w:rsid w:val="2A4552C3"/>
    <w:rsid w:val="2A5305C7"/>
    <w:rsid w:val="2A727492"/>
    <w:rsid w:val="2A756A71"/>
    <w:rsid w:val="2A7E0F37"/>
    <w:rsid w:val="2A8559E6"/>
    <w:rsid w:val="2A8F6F3F"/>
    <w:rsid w:val="2A901C2B"/>
    <w:rsid w:val="2A9F3C29"/>
    <w:rsid w:val="2AAE6795"/>
    <w:rsid w:val="2AB32CF4"/>
    <w:rsid w:val="2AB91FEA"/>
    <w:rsid w:val="2AD05C33"/>
    <w:rsid w:val="2AD267CC"/>
    <w:rsid w:val="2AE2161C"/>
    <w:rsid w:val="2AE9447E"/>
    <w:rsid w:val="2B14781C"/>
    <w:rsid w:val="2B164C68"/>
    <w:rsid w:val="2B1D0329"/>
    <w:rsid w:val="2B1D7991"/>
    <w:rsid w:val="2B365002"/>
    <w:rsid w:val="2B3B6E94"/>
    <w:rsid w:val="2B435E63"/>
    <w:rsid w:val="2B4469C1"/>
    <w:rsid w:val="2B4F5B82"/>
    <w:rsid w:val="2B515A4F"/>
    <w:rsid w:val="2B570107"/>
    <w:rsid w:val="2B621BF5"/>
    <w:rsid w:val="2B630075"/>
    <w:rsid w:val="2B685155"/>
    <w:rsid w:val="2B692B5C"/>
    <w:rsid w:val="2B8F51B1"/>
    <w:rsid w:val="2B9D67E1"/>
    <w:rsid w:val="2B9F51DE"/>
    <w:rsid w:val="2BA33D69"/>
    <w:rsid w:val="2BA7398D"/>
    <w:rsid w:val="2BAC4459"/>
    <w:rsid w:val="2BB2781C"/>
    <w:rsid w:val="2BBD6854"/>
    <w:rsid w:val="2BBF3CF6"/>
    <w:rsid w:val="2BC8348A"/>
    <w:rsid w:val="2BD25B64"/>
    <w:rsid w:val="2BD66D4A"/>
    <w:rsid w:val="2BDD6532"/>
    <w:rsid w:val="2BDE16A6"/>
    <w:rsid w:val="2BF634B3"/>
    <w:rsid w:val="2BF65315"/>
    <w:rsid w:val="2BFE0842"/>
    <w:rsid w:val="2C0563DF"/>
    <w:rsid w:val="2C0D771E"/>
    <w:rsid w:val="2C197811"/>
    <w:rsid w:val="2C1C20B2"/>
    <w:rsid w:val="2C225E33"/>
    <w:rsid w:val="2C2C398B"/>
    <w:rsid w:val="2C2E43F5"/>
    <w:rsid w:val="2C2E5B5A"/>
    <w:rsid w:val="2C3063A5"/>
    <w:rsid w:val="2C422201"/>
    <w:rsid w:val="2C457A6B"/>
    <w:rsid w:val="2C4626FE"/>
    <w:rsid w:val="2C543547"/>
    <w:rsid w:val="2C6000BC"/>
    <w:rsid w:val="2C633505"/>
    <w:rsid w:val="2C764BB0"/>
    <w:rsid w:val="2C7C732D"/>
    <w:rsid w:val="2C8E045B"/>
    <w:rsid w:val="2C9D2F6E"/>
    <w:rsid w:val="2CA028D8"/>
    <w:rsid w:val="2CA4032A"/>
    <w:rsid w:val="2CB2077D"/>
    <w:rsid w:val="2CB973C4"/>
    <w:rsid w:val="2CBE3E5B"/>
    <w:rsid w:val="2CBE5AD8"/>
    <w:rsid w:val="2CC327BE"/>
    <w:rsid w:val="2CCB06D5"/>
    <w:rsid w:val="2CD72DF0"/>
    <w:rsid w:val="2CE05000"/>
    <w:rsid w:val="2CFE206D"/>
    <w:rsid w:val="2D08702F"/>
    <w:rsid w:val="2D093793"/>
    <w:rsid w:val="2D1233EE"/>
    <w:rsid w:val="2D3B1A61"/>
    <w:rsid w:val="2D4979AE"/>
    <w:rsid w:val="2D622606"/>
    <w:rsid w:val="2D733457"/>
    <w:rsid w:val="2D88553C"/>
    <w:rsid w:val="2D8957F2"/>
    <w:rsid w:val="2D8E39EF"/>
    <w:rsid w:val="2D917DB2"/>
    <w:rsid w:val="2DAD145A"/>
    <w:rsid w:val="2DB1787A"/>
    <w:rsid w:val="2DB753F1"/>
    <w:rsid w:val="2DC3563E"/>
    <w:rsid w:val="2DC8275F"/>
    <w:rsid w:val="2DCA67CB"/>
    <w:rsid w:val="2DDC38A4"/>
    <w:rsid w:val="2DDD39D0"/>
    <w:rsid w:val="2DDD402A"/>
    <w:rsid w:val="2DE8380B"/>
    <w:rsid w:val="2DFE338A"/>
    <w:rsid w:val="2E115812"/>
    <w:rsid w:val="2E1E7826"/>
    <w:rsid w:val="2E2B45F6"/>
    <w:rsid w:val="2E317F3A"/>
    <w:rsid w:val="2E324646"/>
    <w:rsid w:val="2E357B89"/>
    <w:rsid w:val="2E3C6A58"/>
    <w:rsid w:val="2E491A04"/>
    <w:rsid w:val="2E4A062B"/>
    <w:rsid w:val="2E4C2DB0"/>
    <w:rsid w:val="2E503A6F"/>
    <w:rsid w:val="2E65509F"/>
    <w:rsid w:val="2E6B4307"/>
    <w:rsid w:val="2E7569C8"/>
    <w:rsid w:val="2E757257"/>
    <w:rsid w:val="2E887E60"/>
    <w:rsid w:val="2E8A51D9"/>
    <w:rsid w:val="2E9F5560"/>
    <w:rsid w:val="2EA32FC7"/>
    <w:rsid w:val="2EC34F02"/>
    <w:rsid w:val="2EE3269E"/>
    <w:rsid w:val="2EE50876"/>
    <w:rsid w:val="2EEB2D22"/>
    <w:rsid w:val="2EEB508A"/>
    <w:rsid w:val="2EEF7A6B"/>
    <w:rsid w:val="2EF35C02"/>
    <w:rsid w:val="2EF37A30"/>
    <w:rsid w:val="2EFC54CF"/>
    <w:rsid w:val="2F0C22DF"/>
    <w:rsid w:val="2F0C6CC1"/>
    <w:rsid w:val="2F0F6299"/>
    <w:rsid w:val="2F1F5E73"/>
    <w:rsid w:val="2F297A0F"/>
    <w:rsid w:val="2F2D4335"/>
    <w:rsid w:val="2F2F3457"/>
    <w:rsid w:val="2F351401"/>
    <w:rsid w:val="2F36517B"/>
    <w:rsid w:val="2F374462"/>
    <w:rsid w:val="2F3A0746"/>
    <w:rsid w:val="2F4157CA"/>
    <w:rsid w:val="2F4F49C8"/>
    <w:rsid w:val="2F5E236A"/>
    <w:rsid w:val="2F7D6077"/>
    <w:rsid w:val="2F890F26"/>
    <w:rsid w:val="2F892A83"/>
    <w:rsid w:val="2F914A98"/>
    <w:rsid w:val="2FAE0498"/>
    <w:rsid w:val="2FB7592E"/>
    <w:rsid w:val="2FBB3CC4"/>
    <w:rsid w:val="2FBD7037"/>
    <w:rsid w:val="2FBF1818"/>
    <w:rsid w:val="2FBF5DAF"/>
    <w:rsid w:val="2FC76584"/>
    <w:rsid w:val="2FD067F9"/>
    <w:rsid w:val="2FD43C00"/>
    <w:rsid w:val="2FD75F88"/>
    <w:rsid w:val="2FD927E4"/>
    <w:rsid w:val="2FDE7F5F"/>
    <w:rsid w:val="2FE30138"/>
    <w:rsid w:val="2FE93FB2"/>
    <w:rsid w:val="30067394"/>
    <w:rsid w:val="300866EE"/>
    <w:rsid w:val="30097368"/>
    <w:rsid w:val="300E2502"/>
    <w:rsid w:val="302225B6"/>
    <w:rsid w:val="30336BB7"/>
    <w:rsid w:val="303402FA"/>
    <w:rsid w:val="303438A9"/>
    <w:rsid w:val="304E5D9F"/>
    <w:rsid w:val="305020CD"/>
    <w:rsid w:val="30582162"/>
    <w:rsid w:val="305962BE"/>
    <w:rsid w:val="305F1B4D"/>
    <w:rsid w:val="30621351"/>
    <w:rsid w:val="3066745B"/>
    <w:rsid w:val="306C0C44"/>
    <w:rsid w:val="3072406D"/>
    <w:rsid w:val="3079775E"/>
    <w:rsid w:val="307F501C"/>
    <w:rsid w:val="30831440"/>
    <w:rsid w:val="30853715"/>
    <w:rsid w:val="3093575F"/>
    <w:rsid w:val="30962BE9"/>
    <w:rsid w:val="30B10D3B"/>
    <w:rsid w:val="30B635A8"/>
    <w:rsid w:val="30B95467"/>
    <w:rsid w:val="30BF7B47"/>
    <w:rsid w:val="30C107BB"/>
    <w:rsid w:val="30D40121"/>
    <w:rsid w:val="30DB0A08"/>
    <w:rsid w:val="30EE5F15"/>
    <w:rsid w:val="30FA7003"/>
    <w:rsid w:val="30FE742F"/>
    <w:rsid w:val="31003D11"/>
    <w:rsid w:val="310400D0"/>
    <w:rsid w:val="31101A10"/>
    <w:rsid w:val="31105362"/>
    <w:rsid w:val="31167642"/>
    <w:rsid w:val="311A50A9"/>
    <w:rsid w:val="311C6E8A"/>
    <w:rsid w:val="31337DED"/>
    <w:rsid w:val="31406FE3"/>
    <w:rsid w:val="31586037"/>
    <w:rsid w:val="315E5060"/>
    <w:rsid w:val="317A520D"/>
    <w:rsid w:val="31863CE6"/>
    <w:rsid w:val="3191467E"/>
    <w:rsid w:val="31915E58"/>
    <w:rsid w:val="31993333"/>
    <w:rsid w:val="31A67FFB"/>
    <w:rsid w:val="31B10FD7"/>
    <w:rsid w:val="31BC1074"/>
    <w:rsid w:val="31C07379"/>
    <w:rsid w:val="31CA37B5"/>
    <w:rsid w:val="31D74458"/>
    <w:rsid w:val="31D86C9C"/>
    <w:rsid w:val="31DD10CA"/>
    <w:rsid w:val="31DE4047"/>
    <w:rsid w:val="31E622F8"/>
    <w:rsid w:val="31E74B3F"/>
    <w:rsid w:val="31EB2FE1"/>
    <w:rsid w:val="31EB61D0"/>
    <w:rsid w:val="32045F7A"/>
    <w:rsid w:val="32154C9B"/>
    <w:rsid w:val="32350D48"/>
    <w:rsid w:val="323F2DBF"/>
    <w:rsid w:val="32457FC4"/>
    <w:rsid w:val="325A5918"/>
    <w:rsid w:val="325F7B08"/>
    <w:rsid w:val="326571C3"/>
    <w:rsid w:val="326671D7"/>
    <w:rsid w:val="3267043F"/>
    <w:rsid w:val="3273555E"/>
    <w:rsid w:val="327E3E2B"/>
    <w:rsid w:val="32833846"/>
    <w:rsid w:val="328E1775"/>
    <w:rsid w:val="329C546E"/>
    <w:rsid w:val="32A900D9"/>
    <w:rsid w:val="32AB075E"/>
    <w:rsid w:val="32B67EA8"/>
    <w:rsid w:val="32DD3D03"/>
    <w:rsid w:val="32DF6972"/>
    <w:rsid w:val="32E12C59"/>
    <w:rsid w:val="32F0674A"/>
    <w:rsid w:val="32FF3DB2"/>
    <w:rsid w:val="330B1B18"/>
    <w:rsid w:val="33145FBC"/>
    <w:rsid w:val="33222B35"/>
    <w:rsid w:val="332B40B2"/>
    <w:rsid w:val="332C690B"/>
    <w:rsid w:val="332D2637"/>
    <w:rsid w:val="33394A74"/>
    <w:rsid w:val="335072D3"/>
    <w:rsid w:val="336E12FB"/>
    <w:rsid w:val="338334E0"/>
    <w:rsid w:val="3396429C"/>
    <w:rsid w:val="339A067B"/>
    <w:rsid w:val="339A1840"/>
    <w:rsid w:val="33A56B5C"/>
    <w:rsid w:val="33A6417A"/>
    <w:rsid w:val="33A71FBA"/>
    <w:rsid w:val="33A94F4C"/>
    <w:rsid w:val="33AB6A2B"/>
    <w:rsid w:val="33B10912"/>
    <w:rsid w:val="33C70CDA"/>
    <w:rsid w:val="33E633F0"/>
    <w:rsid w:val="33ED7D27"/>
    <w:rsid w:val="33F82A12"/>
    <w:rsid w:val="33FB3647"/>
    <w:rsid w:val="34056D0A"/>
    <w:rsid w:val="34087F11"/>
    <w:rsid w:val="340C6F88"/>
    <w:rsid w:val="34255290"/>
    <w:rsid w:val="34304091"/>
    <w:rsid w:val="34362C0A"/>
    <w:rsid w:val="34486194"/>
    <w:rsid w:val="344F34FB"/>
    <w:rsid w:val="34550914"/>
    <w:rsid w:val="34555A90"/>
    <w:rsid w:val="346933EF"/>
    <w:rsid w:val="346C6F59"/>
    <w:rsid w:val="34706CD0"/>
    <w:rsid w:val="34881304"/>
    <w:rsid w:val="34930CC7"/>
    <w:rsid w:val="349F262A"/>
    <w:rsid w:val="34A32499"/>
    <w:rsid w:val="34B40FAF"/>
    <w:rsid w:val="34BF5566"/>
    <w:rsid w:val="34C208C3"/>
    <w:rsid w:val="34D32F61"/>
    <w:rsid w:val="34D7557B"/>
    <w:rsid w:val="34E22D79"/>
    <w:rsid w:val="34E4672C"/>
    <w:rsid w:val="34E478F6"/>
    <w:rsid w:val="34F25A3D"/>
    <w:rsid w:val="34F65429"/>
    <w:rsid w:val="350A0037"/>
    <w:rsid w:val="351D347B"/>
    <w:rsid w:val="35236E85"/>
    <w:rsid w:val="35316ADD"/>
    <w:rsid w:val="353640EF"/>
    <w:rsid w:val="353F2148"/>
    <w:rsid w:val="35430C24"/>
    <w:rsid w:val="35440D49"/>
    <w:rsid w:val="354A2942"/>
    <w:rsid w:val="35545073"/>
    <w:rsid w:val="356C3AF7"/>
    <w:rsid w:val="356D2A92"/>
    <w:rsid w:val="356E0822"/>
    <w:rsid w:val="356F70BE"/>
    <w:rsid w:val="35796219"/>
    <w:rsid w:val="357E4924"/>
    <w:rsid w:val="35884BC3"/>
    <w:rsid w:val="359B02ED"/>
    <w:rsid w:val="35A9795A"/>
    <w:rsid w:val="35AB1391"/>
    <w:rsid w:val="35AC2418"/>
    <w:rsid w:val="35B757CB"/>
    <w:rsid w:val="35C21836"/>
    <w:rsid w:val="35C3492C"/>
    <w:rsid w:val="35CA2236"/>
    <w:rsid w:val="35D903C5"/>
    <w:rsid w:val="35E30C82"/>
    <w:rsid w:val="35F11141"/>
    <w:rsid w:val="35F14768"/>
    <w:rsid w:val="36042ECA"/>
    <w:rsid w:val="36060737"/>
    <w:rsid w:val="36077B54"/>
    <w:rsid w:val="36207AC5"/>
    <w:rsid w:val="36272C9D"/>
    <w:rsid w:val="362B29F8"/>
    <w:rsid w:val="362E6997"/>
    <w:rsid w:val="36314450"/>
    <w:rsid w:val="36321FF8"/>
    <w:rsid w:val="363757EE"/>
    <w:rsid w:val="363A7105"/>
    <w:rsid w:val="363B221C"/>
    <w:rsid w:val="364748F2"/>
    <w:rsid w:val="364A4FD9"/>
    <w:rsid w:val="36705D62"/>
    <w:rsid w:val="36711624"/>
    <w:rsid w:val="367162EC"/>
    <w:rsid w:val="36756EF5"/>
    <w:rsid w:val="36905601"/>
    <w:rsid w:val="36921F96"/>
    <w:rsid w:val="36965535"/>
    <w:rsid w:val="369D0EC6"/>
    <w:rsid w:val="36A3118C"/>
    <w:rsid w:val="36A856CC"/>
    <w:rsid w:val="36B22E6E"/>
    <w:rsid w:val="36B857E4"/>
    <w:rsid w:val="36BC4C4E"/>
    <w:rsid w:val="36C60C21"/>
    <w:rsid w:val="36C942C1"/>
    <w:rsid w:val="36D92F69"/>
    <w:rsid w:val="36E12AF9"/>
    <w:rsid w:val="36E531DA"/>
    <w:rsid w:val="36E57B09"/>
    <w:rsid w:val="3724157D"/>
    <w:rsid w:val="3734642A"/>
    <w:rsid w:val="37356D35"/>
    <w:rsid w:val="373E4A93"/>
    <w:rsid w:val="37493A61"/>
    <w:rsid w:val="37575408"/>
    <w:rsid w:val="37596AF9"/>
    <w:rsid w:val="37645D5E"/>
    <w:rsid w:val="377045A5"/>
    <w:rsid w:val="377644C8"/>
    <w:rsid w:val="377A2FE2"/>
    <w:rsid w:val="37931D11"/>
    <w:rsid w:val="379716F7"/>
    <w:rsid w:val="379F49D5"/>
    <w:rsid w:val="37A32FBF"/>
    <w:rsid w:val="37A64CDE"/>
    <w:rsid w:val="37AD17D5"/>
    <w:rsid w:val="37B4396B"/>
    <w:rsid w:val="37B8715D"/>
    <w:rsid w:val="37BA328B"/>
    <w:rsid w:val="37D27ED7"/>
    <w:rsid w:val="37E11E05"/>
    <w:rsid w:val="37E33CA6"/>
    <w:rsid w:val="37E85E95"/>
    <w:rsid w:val="37EC5862"/>
    <w:rsid w:val="37F45447"/>
    <w:rsid w:val="37F747D6"/>
    <w:rsid w:val="37FD3E8B"/>
    <w:rsid w:val="38186634"/>
    <w:rsid w:val="38186965"/>
    <w:rsid w:val="381E48A0"/>
    <w:rsid w:val="3820363A"/>
    <w:rsid w:val="38281018"/>
    <w:rsid w:val="382D20F9"/>
    <w:rsid w:val="382E0700"/>
    <w:rsid w:val="385C1CFE"/>
    <w:rsid w:val="385F02D5"/>
    <w:rsid w:val="3867258C"/>
    <w:rsid w:val="38731364"/>
    <w:rsid w:val="387A4397"/>
    <w:rsid w:val="387D1B06"/>
    <w:rsid w:val="387D3ED4"/>
    <w:rsid w:val="38831870"/>
    <w:rsid w:val="38837174"/>
    <w:rsid w:val="388F5960"/>
    <w:rsid w:val="38A15C6B"/>
    <w:rsid w:val="38AA37B9"/>
    <w:rsid w:val="38BA23E6"/>
    <w:rsid w:val="38C37C42"/>
    <w:rsid w:val="38D12C91"/>
    <w:rsid w:val="38DA5BE2"/>
    <w:rsid w:val="38E349E7"/>
    <w:rsid w:val="38EA7903"/>
    <w:rsid w:val="38F048BA"/>
    <w:rsid w:val="38F73FA5"/>
    <w:rsid w:val="38F90A7D"/>
    <w:rsid w:val="39012407"/>
    <w:rsid w:val="390635D7"/>
    <w:rsid w:val="390D09CF"/>
    <w:rsid w:val="390F6BF8"/>
    <w:rsid w:val="391136F4"/>
    <w:rsid w:val="392326BF"/>
    <w:rsid w:val="394443D5"/>
    <w:rsid w:val="3948157E"/>
    <w:rsid w:val="395555D4"/>
    <w:rsid w:val="395B3B87"/>
    <w:rsid w:val="395E51BC"/>
    <w:rsid w:val="396122F5"/>
    <w:rsid w:val="396167D3"/>
    <w:rsid w:val="396C044E"/>
    <w:rsid w:val="3971644D"/>
    <w:rsid w:val="397357E1"/>
    <w:rsid w:val="3974291A"/>
    <w:rsid w:val="397B54A2"/>
    <w:rsid w:val="397C3D6C"/>
    <w:rsid w:val="398C51A8"/>
    <w:rsid w:val="398F3288"/>
    <w:rsid w:val="39902E32"/>
    <w:rsid w:val="39CA0C6B"/>
    <w:rsid w:val="39CC721E"/>
    <w:rsid w:val="39CE22D2"/>
    <w:rsid w:val="39D82886"/>
    <w:rsid w:val="39DD0211"/>
    <w:rsid w:val="39DD5C82"/>
    <w:rsid w:val="39E0408B"/>
    <w:rsid w:val="39E201AD"/>
    <w:rsid w:val="39EA23C9"/>
    <w:rsid w:val="39FD052B"/>
    <w:rsid w:val="39FD7296"/>
    <w:rsid w:val="3A050A61"/>
    <w:rsid w:val="3A1717A2"/>
    <w:rsid w:val="3A2C0D88"/>
    <w:rsid w:val="3A3A0F35"/>
    <w:rsid w:val="3A5B03D7"/>
    <w:rsid w:val="3A662076"/>
    <w:rsid w:val="3A7663FB"/>
    <w:rsid w:val="3A7F6F62"/>
    <w:rsid w:val="3A8920E3"/>
    <w:rsid w:val="3A8A6F26"/>
    <w:rsid w:val="3A8B18ED"/>
    <w:rsid w:val="3A9B3770"/>
    <w:rsid w:val="3AB40EBA"/>
    <w:rsid w:val="3AB41012"/>
    <w:rsid w:val="3ABF0340"/>
    <w:rsid w:val="3AC058C7"/>
    <w:rsid w:val="3AC47EC3"/>
    <w:rsid w:val="3AC52EF5"/>
    <w:rsid w:val="3ACA05E3"/>
    <w:rsid w:val="3ACE2164"/>
    <w:rsid w:val="3ACF19A3"/>
    <w:rsid w:val="3B066C9A"/>
    <w:rsid w:val="3B1B31C9"/>
    <w:rsid w:val="3B2457DA"/>
    <w:rsid w:val="3B2957E3"/>
    <w:rsid w:val="3B2E0C51"/>
    <w:rsid w:val="3B333DDD"/>
    <w:rsid w:val="3B385567"/>
    <w:rsid w:val="3B3C6203"/>
    <w:rsid w:val="3B3D0E85"/>
    <w:rsid w:val="3B3F12DA"/>
    <w:rsid w:val="3B403B20"/>
    <w:rsid w:val="3B434D6B"/>
    <w:rsid w:val="3B4469DE"/>
    <w:rsid w:val="3B496C1B"/>
    <w:rsid w:val="3B514A99"/>
    <w:rsid w:val="3B5261C9"/>
    <w:rsid w:val="3B674CA9"/>
    <w:rsid w:val="3B68169C"/>
    <w:rsid w:val="3B7D5484"/>
    <w:rsid w:val="3B8319A0"/>
    <w:rsid w:val="3B961032"/>
    <w:rsid w:val="3BA17842"/>
    <w:rsid w:val="3BA411C8"/>
    <w:rsid w:val="3BA7014B"/>
    <w:rsid w:val="3BAF2423"/>
    <w:rsid w:val="3BB64BF1"/>
    <w:rsid w:val="3BBC230F"/>
    <w:rsid w:val="3BC83523"/>
    <w:rsid w:val="3BC86522"/>
    <w:rsid w:val="3BE32424"/>
    <w:rsid w:val="3BE81096"/>
    <w:rsid w:val="3BEF0F0F"/>
    <w:rsid w:val="3BEF707C"/>
    <w:rsid w:val="3BF3295B"/>
    <w:rsid w:val="3C0E44D4"/>
    <w:rsid w:val="3C213FA8"/>
    <w:rsid w:val="3C227775"/>
    <w:rsid w:val="3C2735D4"/>
    <w:rsid w:val="3C2A6480"/>
    <w:rsid w:val="3C2B327D"/>
    <w:rsid w:val="3C2F0B9F"/>
    <w:rsid w:val="3C305D6E"/>
    <w:rsid w:val="3C382266"/>
    <w:rsid w:val="3C391DD4"/>
    <w:rsid w:val="3C3E3C63"/>
    <w:rsid w:val="3C43718E"/>
    <w:rsid w:val="3C463576"/>
    <w:rsid w:val="3C472A0E"/>
    <w:rsid w:val="3C5E23E6"/>
    <w:rsid w:val="3C5F1085"/>
    <w:rsid w:val="3C63529D"/>
    <w:rsid w:val="3C6436EA"/>
    <w:rsid w:val="3C657A3E"/>
    <w:rsid w:val="3C6727DF"/>
    <w:rsid w:val="3C6E6FCF"/>
    <w:rsid w:val="3C8D4BE6"/>
    <w:rsid w:val="3CA02607"/>
    <w:rsid w:val="3CAB7D63"/>
    <w:rsid w:val="3CAD4591"/>
    <w:rsid w:val="3CC527C1"/>
    <w:rsid w:val="3CCA0754"/>
    <w:rsid w:val="3CCC58A2"/>
    <w:rsid w:val="3CDA0620"/>
    <w:rsid w:val="3CE04B7A"/>
    <w:rsid w:val="3CE3763E"/>
    <w:rsid w:val="3CEA37D7"/>
    <w:rsid w:val="3CF71419"/>
    <w:rsid w:val="3CFA508D"/>
    <w:rsid w:val="3D0A3F6B"/>
    <w:rsid w:val="3D0C0C45"/>
    <w:rsid w:val="3D170712"/>
    <w:rsid w:val="3D1721C0"/>
    <w:rsid w:val="3D1C61CA"/>
    <w:rsid w:val="3D227735"/>
    <w:rsid w:val="3D28077F"/>
    <w:rsid w:val="3D533203"/>
    <w:rsid w:val="3D573277"/>
    <w:rsid w:val="3D605F73"/>
    <w:rsid w:val="3D6A1B4C"/>
    <w:rsid w:val="3D6D6539"/>
    <w:rsid w:val="3D7E29F6"/>
    <w:rsid w:val="3DA2705B"/>
    <w:rsid w:val="3DA53539"/>
    <w:rsid w:val="3DB0458E"/>
    <w:rsid w:val="3DB35694"/>
    <w:rsid w:val="3DB43634"/>
    <w:rsid w:val="3DB71B33"/>
    <w:rsid w:val="3DB911D4"/>
    <w:rsid w:val="3DCA4D98"/>
    <w:rsid w:val="3DDB632B"/>
    <w:rsid w:val="3DDF227B"/>
    <w:rsid w:val="3DE577D0"/>
    <w:rsid w:val="3DE9500F"/>
    <w:rsid w:val="3DFE29BC"/>
    <w:rsid w:val="3E0A013E"/>
    <w:rsid w:val="3E13386A"/>
    <w:rsid w:val="3E2829A8"/>
    <w:rsid w:val="3E284CAD"/>
    <w:rsid w:val="3E2D328B"/>
    <w:rsid w:val="3E3D6BE8"/>
    <w:rsid w:val="3E4D5AA5"/>
    <w:rsid w:val="3E4F4D95"/>
    <w:rsid w:val="3E5C1C0B"/>
    <w:rsid w:val="3E5D1382"/>
    <w:rsid w:val="3E605D7B"/>
    <w:rsid w:val="3E613884"/>
    <w:rsid w:val="3E640B33"/>
    <w:rsid w:val="3E671F5B"/>
    <w:rsid w:val="3E680161"/>
    <w:rsid w:val="3E696B7E"/>
    <w:rsid w:val="3E6B55A3"/>
    <w:rsid w:val="3E707498"/>
    <w:rsid w:val="3E7567DF"/>
    <w:rsid w:val="3E782FDC"/>
    <w:rsid w:val="3E7B0AF2"/>
    <w:rsid w:val="3E8F178D"/>
    <w:rsid w:val="3E906406"/>
    <w:rsid w:val="3E91532E"/>
    <w:rsid w:val="3E9970E7"/>
    <w:rsid w:val="3EA4146C"/>
    <w:rsid w:val="3EAD648A"/>
    <w:rsid w:val="3EBB4AEE"/>
    <w:rsid w:val="3EC33289"/>
    <w:rsid w:val="3EC97967"/>
    <w:rsid w:val="3ECA0657"/>
    <w:rsid w:val="3ECC0FDD"/>
    <w:rsid w:val="3ECF6094"/>
    <w:rsid w:val="3EDE6D1E"/>
    <w:rsid w:val="3EE55C57"/>
    <w:rsid w:val="3F036EB6"/>
    <w:rsid w:val="3F0F7AE2"/>
    <w:rsid w:val="3F186F17"/>
    <w:rsid w:val="3F2269B3"/>
    <w:rsid w:val="3F236909"/>
    <w:rsid w:val="3F316D95"/>
    <w:rsid w:val="3F3D6303"/>
    <w:rsid w:val="3F3E75F0"/>
    <w:rsid w:val="3F5453E8"/>
    <w:rsid w:val="3F5A7FC0"/>
    <w:rsid w:val="3F5C181C"/>
    <w:rsid w:val="3F634BD5"/>
    <w:rsid w:val="3F6B59AE"/>
    <w:rsid w:val="3F732B39"/>
    <w:rsid w:val="3FAE2AC7"/>
    <w:rsid w:val="3FB0000E"/>
    <w:rsid w:val="3FB005D8"/>
    <w:rsid w:val="3FB05F40"/>
    <w:rsid w:val="3FB12920"/>
    <w:rsid w:val="3FB400A8"/>
    <w:rsid w:val="3FBC72A1"/>
    <w:rsid w:val="3FBD191B"/>
    <w:rsid w:val="3FC71D63"/>
    <w:rsid w:val="3FD74950"/>
    <w:rsid w:val="40006336"/>
    <w:rsid w:val="40040006"/>
    <w:rsid w:val="400B5238"/>
    <w:rsid w:val="40104FD1"/>
    <w:rsid w:val="40151314"/>
    <w:rsid w:val="40161F75"/>
    <w:rsid w:val="401A51BC"/>
    <w:rsid w:val="402B6F32"/>
    <w:rsid w:val="4035462F"/>
    <w:rsid w:val="404D2230"/>
    <w:rsid w:val="404F5D16"/>
    <w:rsid w:val="405B1F66"/>
    <w:rsid w:val="4066620A"/>
    <w:rsid w:val="406978DD"/>
    <w:rsid w:val="406B5E40"/>
    <w:rsid w:val="40741E03"/>
    <w:rsid w:val="407D2537"/>
    <w:rsid w:val="40821699"/>
    <w:rsid w:val="408E7728"/>
    <w:rsid w:val="40922062"/>
    <w:rsid w:val="409464C8"/>
    <w:rsid w:val="409C6247"/>
    <w:rsid w:val="40B969ED"/>
    <w:rsid w:val="40D14E28"/>
    <w:rsid w:val="40D82B71"/>
    <w:rsid w:val="40DD0AB7"/>
    <w:rsid w:val="40E32783"/>
    <w:rsid w:val="40EB65DD"/>
    <w:rsid w:val="40EF658B"/>
    <w:rsid w:val="40F20AB7"/>
    <w:rsid w:val="40F468BD"/>
    <w:rsid w:val="41155C7D"/>
    <w:rsid w:val="411D2572"/>
    <w:rsid w:val="411F3F16"/>
    <w:rsid w:val="41220CE1"/>
    <w:rsid w:val="41307274"/>
    <w:rsid w:val="41313857"/>
    <w:rsid w:val="413919D8"/>
    <w:rsid w:val="413C0683"/>
    <w:rsid w:val="413D1A37"/>
    <w:rsid w:val="4149513D"/>
    <w:rsid w:val="414C289C"/>
    <w:rsid w:val="41556A1E"/>
    <w:rsid w:val="4162705B"/>
    <w:rsid w:val="41684027"/>
    <w:rsid w:val="41691A55"/>
    <w:rsid w:val="41756B8B"/>
    <w:rsid w:val="418270C8"/>
    <w:rsid w:val="41846666"/>
    <w:rsid w:val="418F5CEE"/>
    <w:rsid w:val="41956FC3"/>
    <w:rsid w:val="419D59DD"/>
    <w:rsid w:val="419F2EA3"/>
    <w:rsid w:val="41A55979"/>
    <w:rsid w:val="41AF5D96"/>
    <w:rsid w:val="41B34155"/>
    <w:rsid w:val="41B80FEA"/>
    <w:rsid w:val="41BB789D"/>
    <w:rsid w:val="41CB2E95"/>
    <w:rsid w:val="41CE5D6F"/>
    <w:rsid w:val="41CE5E80"/>
    <w:rsid w:val="41D47CA6"/>
    <w:rsid w:val="41D9224B"/>
    <w:rsid w:val="41DA7E07"/>
    <w:rsid w:val="41DB3703"/>
    <w:rsid w:val="41DD216B"/>
    <w:rsid w:val="41DE58F1"/>
    <w:rsid w:val="41E626FC"/>
    <w:rsid w:val="41F84C3F"/>
    <w:rsid w:val="42020CB8"/>
    <w:rsid w:val="42053DF6"/>
    <w:rsid w:val="42077BE9"/>
    <w:rsid w:val="4208469D"/>
    <w:rsid w:val="42101F23"/>
    <w:rsid w:val="421E7EC4"/>
    <w:rsid w:val="42267A5C"/>
    <w:rsid w:val="422F407F"/>
    <w:rsid w:val="423730E7"/>
    <w:rsid w:val="42393A30"/>
    <w:rsid w:val="424478C7"/>
    <w:rsid w:val="42525529"/>
    <w:rsid w:val="42642385"/>
    <w:rsid w:val="42682E1D"/>
    <w:rsid w:val="42690B0A"/>
    <w:rsid w:val="426F4B6A"/>
    <w:rsid w:val="426F6060"/>
    <w:rsid w:val="427F4441"/>
    <w:rsid w:val="42875AF2"/>
    <w:rsid w:val="42884F70"/>
    <w:rsid w:val="428C5320"/>
    <w:rsid w:val="429123AD"/>
    <w:rsid w:val="42B545E4"/>
    <w:rsid w:val="42C53FC1"/>
    <w:rsid w:val="42D163E8"/>
    <w:rsid w:val="42D24020"/>
    <w:rsid w:val="42D74CB5"/>
    <w:rsid w:val="42DC3FE9"/>
    <w:rsid w:val="42F36C4D"/>
    <w:rsid w:val="430742C8"/>
    <w:rsid w:val="431710BE"/>
    <w:rsid w:val="435278F3"/>
    <w:rsid w:val="43652ADE"/>
    <w:rsid w:val="4367719E"/>
    <w:rsid w:val="436B02D7"/>
    <w:rsid w:val="436F2539"/>
    <w:rsid w:val="43720472"/>
    <w:rsid w:val="437602C4"/>
    <w:rsid w:val="43796616"/>
    <w:rsid w:val="43A655CA"/>
    <w:rsid w:val="43AB3053"/>
    <w:rsid w:val="43AF6312"/>
    <w:rsid w:val="43B20353"/>
    <w:rsid w:val="43B60B7C"/>
    <w:rsid w:val="43BB792D"/>
    <w:rsid w:val="43C912ED"/>
    <w:rsid w:val="43CE0EF2"/>
    <w:rsid w:val="43D057F1"/>
    <w:rsid w:val="43D1414A"/>
    <w:rsid w:val="43D26B6F"/>
    <w:rsid w:val="43D67E4D"/>
    <w:rsid w:val="43DD67D9"/>
    <w:rsid w:val="43DF56DB"/>
    <w:rsid w:val="43E21A42"/>
    <w:rsid w:val="43F61EFF"/>
    <w:rsid w:val="43F6705C"/>
    <w:rsid w:val="43F74C76"/>
    <w:rsid w:val="43FB7B69"/>
    <w:rsid w:val="44053304"/>
    <w:rsid w:val="440C0538"/>
    <w:rsid w:val="440E0A54"/>
    <w:rsid w:val="44141688"/>
    <w:rsid w:val="44175663"/>
    <w:rsid w:val="442A3260"/>
    <w:rsid w:val="443A68E8"/>
    <w:rsid w:val="443C579A"/>
    <w:rsid w:val="44417472"/>
    <w:rsid w:val="44493192"/>
    <w:rsid w:val="444C7891"/>
    <w:rsid w:val="44504583"/>
    <w:rsid w:val="44546900"/>
    <w:rsid w:val="445A7412"/>
    <w:rsid w:val="44615D4D"/>
    <w:rsid w:val="446263B0"/>
    <w:rsid w:val="446933DB"/>
    <w:rsid w:val="447C21A2"/>
    <w:rsid w:val="447E71DD"/>
    <w:rsid w:val="448133F2"/>
    <w:rsid w:val="44897E0A"/>
    <w:rsid w:val="4490797F"/>
    <w:rsid w:val="44A24CE2"/>
    <w:rsid w:val="44AC6AA0"/>
    <w:rsid w:val="44C02FBC"/>
    <w:rsid w:val="44C9166B"/>
    <w:rsid w:val="44CF1F14"/>
    <w:rsid w:val="44D43250"/>
    <w:rsid w:val="44D477D8"/>
    <w:rsid w:val="44DB79B8"/>
    <w:rsid w:val="44E70967"/>
    <w:rsid w:val="44E76148"/>
    <w:rsid w:val="44EF65A4"/>
    <w:rsid w:val="450353C6"/>
    <w:rsid w:val="4509333F"/>
    <w:rsid w:val="45116BFC"/>
    <w:rsid w:val="45185DAE"/>
    <w:rsid w:val="451A4682"/>
    <w:rsid w:val="45273624"/>
    <w:rsid w:val="452A7E19"/>
    <w:rsid w:val="4535604E"/>
    <w:rsid w:val="45516ED2"/>
    <w:rsid w:val="45534F41"/>
    <w:rsid w:val="45610A71"/>
    <w:rsid w:val="45764D5C"/>
    <w:rsid w:val="45783A8C"/>
    <w:rsid w:val="458D1EE2"/>
    <w:rsid w:val="45975583"/>
    <w:rsid w:val="45A23E4F"/>
    <w:rsid w:val="45A864FE"/>
    <w:rsid w:val="45BA2A70"/>
    <w:rsid w:val="45BF007D"/>
    <w:rsid w:val="45C110D3"/>
    <w:rsid w:val="45D04FEF"/>
    <w:rsid w:val="45D33485"/>
    <w:rsid w:val="45EE5900"/>
    <w:rsid w:val="46092E53"/>
    <w:rsid w:val="462214B8"/>
    <w:rsid w:val="462D5FEF"/>
    <w:rsid w:val="46423B27"/>
    <w:rsid w:val="464B0531"/>
    <w:rsid w:val="464C3A05"/>
    <w:rsid w:val="46511E10"/>
    <w:rsid w:val="465448F2"/>
    <w:rsid w:val="465E3098"/>
    <w:rsid w:val="46623D1B"/>
    <w:rsid w:val="46672F35"/>
    <w:rsid w:val="466C3BF2"/>
    <w:rsid w:val="466D4269"/>
    <w:rsid w:val="46753A27"/>
    <w:rsid w:val="46862C38"/>
    <w:rsid w:val="468B615B"/>
    <w:rsid w:val="46943FE6"/>
    <w:rsid w:val="469C5366"/>
    <w:rsid w:val="46B10DAF"/>
    <w:rsid w:val="46BE554E"/>
    <w:rsid w:val="46C45D65"/>
    <w:rsid w:val="46D07416"/>
    <w:rsid w:val="46D22372"/>
    <w:rsid w:val="46E74CC0"/>
    <w:rsid w:val="46F24A9C"/>
    <w:rsid w:val="46F94ACB"/>
    <w:rsid w:val="47015186"/>
    <w:rsid w:val="470D0168"/>
    <w:rsid w:val="470D4174"/>
    <w:rsid w:val="4715699E"/>
    <w:rsid w:val="47221EC0"/>
    <w:rsid w:val="472A79E0"/>
    <w:rsid w:val="472C105B"/>
    <w:rsid w:val="4736137F"/>
    <w:rsid w:val="473769F4"/>
    <w:rsid w:val="473D5031"/>
    <w:rsid w:val="47436F93"/>
    <w:rsid w:val="47497CED"/>
    <w:rsid w:val="474E3CA6"/>
    <w:rsid w:val="474F2EE8"/>
    <w:rsid w:val="47585BA0"/>
    <w:rsid w:val="475A1D2F"/>
    <w:rsid w:val="475A7944"/>
    <w:rsid w:val="476147F4"/>
    <w:rsid w:val="476436A4"/>
    <w:rsid w:val="47754C2E"/>
    <w:rsid w:val="47823144"/>
    <w:rsid w:val="478821C8"/>
    <w:rsid w:val="478B13A5"/>
    <w:rsid w:val="478F23A2"/>
    <w:rsid w:val="479876C5"/>
    <w:rsid w:val="47A2298A"/>
    <w:rsid w:val="47AC49D7"/>
    <w:rsid w:val="47BB36B5"/>
    <w:rsid w:val="47C30CFF"/>
    <w:rsid w:val="47D538BF"/>
    <w:rsid w:val="47D93B3C"/>
    <w:rsid w:val="47EC3BCC"/>
    <w:rsid w:val="47EF48E2"/>
    <w:rsid w:val="47FE5712"/>
    <w:rsid w:val="48056817"/>
    <w:rsid w:val="48071009"/>
    <w:rsid w:val="48160910"/>
    <w:rsid w:val="481D2E0A"/>
    <w:rsid w:val="482917DE"/>
    <w:rsid w:val="48312257"/>
    <w:rsid w:val="48314497"/>
    <w:rsid w:val="48454B43"/>
    <w:rsid w:val="484E2F53"/>
    <w:rsid w:val="484E459F"/>
    <w:rsid w:val="485174E3"/>
    <w:rsid w:val="486E0331"/>
    <w:rsid w:val="4873740A"/>
    <w:rsid w:val="4877279F"/>
    <w:rsid w:val="48832C3B"/>
    <w:rsid w:val="489176F0"/>
    <w:rsid w:val="48A01DC6"/>
    <w:rsid w:val="48AE7B29"/>
    <w:rsid w:val="48B34240"/>
    <w:rsid w:val="48BD60A8"/>
    <w:rsid w:val="48C85917"/>
    <w:rsid w:val="48D05068"/>
    <w:rsid w:val="48D72399"/>
    <w:rsid w:val="48D926AD"/>
    <w:rsid w:val="48DC03DD"/>
    <w:rsid w:val="48E67528"/>
    <w:rsid w:val="48F2474B"/>
    <w:rsid w:val="4900376F"/>
    <w:rsid w:val="49031DE2"/>
    <w:rsid w:val="49046090"/>
    <w:rsid w:val="490578A2"/>
    <w:rsid w:val="490B6702"/>
    <w:rsid w:val="4924152D"/>
    <w:rsid w:val="4924574C"/>
    <w:rsid w:val="492B380B"/>
    <w:rsid w:val="49306605"/>
    <w:rsid w:val="4932429E"/>
    <w:rsid w:val="493317E9"/>
    <w:rsid w:val="4933521B"/>
    <w:rsid w:val="49344B77"/>
    <w:rsid w:val="49515037"/>
    <w:rsid w:val="495441DE"/>
    <w:rsid w:val="49590D13"/>
    <w:rsid w:val="496603CB"/>
    <w:rsid w:val="49722813"/>
    <w:rsid w:val="49727215"/>
    <w:rsid w:val="49752438"/>
    <w:rsid w:val="497E3FC3"/>
    <w:rsid w:val="49825179"/>
    <w:rsid w:val="49827172"/>
    <w:rsid w:val="49857B3C"/>
    <w:rsid w:val="49891345"/>
    <w:rsid w:val="498F3090"/>
    <w:rsid w:val="499049E3"/>
    <w:rsid w:val="49A30128"/>
    <w:rsid w:val="49B01BAE"/>
    <w:rsid w:val="49B4583D"/>
    <w:rsid w:val="49B54250"/>
    <w:rsid w:val="49B61DD3"/>
    <w:rsid w:val="49B8517B"/>
    <w:rsid w:val="49B854B2"/>
    <w:rsid w:val="49C2169A"/>
    <w:rsid w:val="49C41D97"/>
    <w:rsid w:val="49C42A10"/>
    <w:rsid w:val="49C76AA2"/>
    <w:rsid w:val="49CD79A4"/>
    <w:rsid w:val="49D62A28"/>
    <w:rsid w:val="49DF3699"/>
    <w:rsid w:val="49EB61F2"/>
    <w:rsid w:val="49EC674C"/>
    <w:rsid w:val="49EC7055"/>
    <w:rsid w:val="49F47F64"/>
    <w:rsid w:val="49FD7E22"/>
    <w:rsid w:val="4A0E2BA8"/>
    <w:rsid w:val="4A111BFA"/>
    <w:rsid w:val="4A267576"/>
    <w:rsid w:val="4A280B0E"/>
    <w:rsid w:val="4A2C3C74"/>
    <w:rsid w:val="4A2D7BC9"/>
    <w:rsid w:val="4A327B46"/>
    <w:rsid w:val="4A3845C5"/>
    <w:rsid w:val="4A3B2897"/>
    <w:rsid w:val="4A3B2DB5"/>
    <w:rsid w:val="4A4044A1"/>
    <w:rsid w:val="4A4554B8"/>
    <w:rsid w:val="4A4B3F70"/>
    <w:rsid w:val="4A51261B"/>
    <w:rsid w:val="4A543304"/>
    <w:rsid w:val="4A5D123E"/>
    <w:rsid w:val="4A5F2B0E"/>
    <w:rsid w:val="4A6075A3"/>
    <w:rsid w:val="4A6514DB"/>
    <w:rsid w:val="4A664A90"/>
    <w:rsid w:val="4A80341B"/>
    <w:rsid w:val="4A811C9F"/>
    <w:rsid w:val="4A816144"/>
    <w:rsid w:val="4A8A1046"/>
    <w:rsid w:val="4A98092D"/>
    <w:rsid w:val="4A9B3DA6"/>
    <w:rsid w:val="4AA11A7B"/>
    <w:rsid w:val="4AAB13E0"/>
    <w:rsid w:val="4AB604A6"/>
    <w:rsid w:val="4AD32458"/>
    <w:rsid w:val="4AD75D13"/>
    <w:rsid w:val="4AE67BDD"/>
    <w:rsid w:val="4AF41A83"/>
    <w:rsid w:val="4AF64EB3"/>
    <w:rsid w:val="4AF854A5"/>
    <w:rsid w:val="4AFE02EB"/>
    <w:rsid w:val="4B0B061E"/>
    <w:rsid w:val="4B116C3A"/>
    <w:rsid w:val="4B1A31D2"/>
    <w:rsid w:val="4B1F2755"/>
    <w:rsid w:val="4B21349F"/>
    <w:rsid w:val="4B2947A3"/>
    <w:rsid w:val="4B3656CC"/>
    <w:rsid w:val="4B424673"/>
    <w:rsid w:val="4B43687B"/>
    <w:rsid w:val="4B4C4C91"/>
    <w:rsid w:val="4B4F585E"/>
    <w:rsid w:val="4B5066D3"/>
    <w:rsid w:val="4B524F5F"/>
    <w:rsid w:val="4B556C18"/>
    <w:rsid w:val="4B5B00CB"/>
    <w:rsid w:val="4B5C2A02"/>
    <w:rsid w:val="4B5D1505"/>
    <w:rsid w:val="4B5D2F0E"/>
    <w:rsid w:val="4B670EEB"/>
    <w:rsid w:val="4B6C76C1"/>
    <w:rsid w:val="4B700715"/>
    <w:rsid w:val="4B7837FE"/>
    <w:rsid w:val="4B842536"/>
    <w:rsid w:val="4B857330"/>
    <w:rsid w:val="4B8D6483"/>
    <w:rsid w:val="4B9426D6"/>
    <w:rsid w:val="4B9F7B27"/>
    <w:rsid w:val="4BA9427B"/>
    <w:rsid w:val="4BB21BF5"/>
    <w:rsid w:val="4BC93340"/>
    <w:rsid w:val="4BCD5D8A"/>
    <w:rsid w:val="4BD667C4"/>
    <w:rsid w:val="4BDB6730"/>
    <w:rsid w:val="4BE50349"/>
    <w:rsid w:val="4BF11E1A"/>
    <w:rsid w:val="4BF9699A"/>
    <w:rsid w:val="4C0A56D4"/>
    <w:rsid w:val="4C0D086F"/>
    <w:rsid w:val="4C1233AD"/>
    <w:rsid w:val="4C1648A2"/>
    <w:rsid w:val="4C185ADC"/>
    <w:rsid w:val="4C1F4B55"/>
    <w:rsid w:val="4C364701"/>
    <w:rsid w:val="4C4233CF"/>
    <w:rsid w:val="4C4502B3"/>
    <w:rsid w:val="4C4C2ECA"/>
    <w:rsid w:val="4C5114DD"/>
    <w:rsid w:val="4C5B4E2F"/>
    <w:rsid w:val="4C64188F"/>
    <w:rsid w:val="4C6B203A"/>
    <w:rsid w:val="4C9D5333"/>
    <w:rsid w:val="4CB805EB"/>
    <w:rsid w:val="4CB94893"/>
    <w:rsid w:val="4CD40156"/>
    <w:rsid w:val="4CD97F00"/>
    <w:rsid w:val="4CE507BB"/>
    <w:rsid w:val="4CE84B1E"/>
    <w:rsid w:val="4CF84925"/>
    <w:rsid w:val="4CFB7174"/>
    <w:rsid w:val="4D0230A4"/>
    <w:rsid w:val="4D0541DC"/>
    <w:rsid w:val="4D0828E9"/>
    <w:rsid w:val="4D083099"/>
    <w:rsid w:val="4D08524C"/>
    <w:rsid w:val="4D1413B4"/>
    <w:rsid w:val="4D16583F"/>
    <w:rsid w:val="4D17385C"/>
    <w:rsid w:val="4D4B4412"/>
    <w:rsid w:val="4D503413"/>
    <w:rsid w:val="4D6A54AB"/>
    <w:rsid w:val="4D815267"/>
    <w:rsid w:val="4D8C0894"/>
    <w:rsid w:val="4D8F1DE7"/>
    <w:rsid w:val="4D983C7F"/>
    <w:rsid w:val="4D9D0D26"/>
    <w:rsid w:val="4DA20DFB"/>
    <w:rsid w:val="4DAD5859"/>
    <w:rsid w:val="4DB85C63"/>
    <w:rsid w:val="4DB9274D"/>
    <w:rsid w:val="4DCA0A14"/>
    <w:rsid w:val="4DE15ABD"/>
    <w:rsid w:val="4DE91693"/>
    <w:rsid w:val="4DEC65EA"/>
    <w:rsid w:val="4DEE3FB3"/>
    <w:rsid w:val="4DF20E52"/>
    <w:rsid w:val="4DF52C1C"/>
    <w:rsid w:val="4DFE09DF"/>
    <w:rsid w:val="4DFF3390"/>
    <w:rsid w:val="4E0144FA"/>
    <w:rsid w:val="4E055215"/>
    <w:rsid w:val="4E0A289D"/>
    <w:rsid w:val="4E0B0488"/>
    <w:rsid w:val="4E0B62AA"/>
    <w:rsid w:val="4E10399C"/>
    <w:rsid w:val="4E2D7F67"/>
    <w:rsid w:val="4E444909"/>
    <w:rsid w:val="4E604970"/>
    <w:rsid w:val="4E691FCA"/>
    <w:rsid w:val="4E70427F"/>
    <w:rsid w:val="4E7B161E"/>
    <w:rsid w:val="4E8C412A"/>
    <w:rsid w:val="4E9F52CA"/>
    <w:rsid w:val="4EB44996"/>
    <w:rsid w:val="4EBA01BB"/>
    <w:rsid w:val="4EC1374B"/>
    <w:rsid w:val="4ECD2946"/>
    <w:rsid w:val="4ED147C1"/>
    <w:rsid w:val="4ED374D0"/>
    <w:rsid w:val="4EE27D7A"/>
    <w:rsid w:val="4EE95170"/>
    <w:rsid w:val="4EED6AB4"/>
    <w:rsid w:val="4EEE4967"/>
    <w:rsid w:val="4EFF10AB"/>
    <w:rsid w:val="4F0711B8"/>
    <w:rsid w:val="4F0D1F32"/>
    <w:rsid w:val="4F105E49"/>
    <w:rsid w:val="4F1A4447"/>
    <w:rsid w:val="4F1E452A"/>
    <w:rsid w:val="4F32541F"/>
    <w:rsid w:val="4F3A6287"/>
    <w:rsid w:val="4F3B2C0D"/>
    <w:rsid w:val="4F3F0431"/>
    <w:rsid w:val="4F404EE0"/>
    <w:rsid w:val="4F503EC3"/>
    <w:rsid w:val="4F65431D"/>
    <w:rsid w:val="4F83000A"/>
    <w:rsid w:val="4F9B16D6"/>
    <w:rsid w:val="4FA856E5"/>
    <w:rsid w:val="4FB01DB0"/>
    <w:rsid w:val="4FC44ABC"/>
    <w:rsid w:val="4FD33681"/>
    <w:rsid w:val="4FDD4119"/>
    <w:rsid w:val="4FDF5DEF"/>
    <w:rsid w:val="4FE06B2A"/>
    <w:rsid w:val="4FE859C5"/>
    <w:rsid w:val="4FEC47F8"/>
    <w:rsid w:val="4FF4044F"/>
    <w:rsid w:val="501244E2"/>
    <w:rsid w:val="502D57C0"/>
    <w:rsid w:val="503451F3"/>
    <w:rsid w:val="50397B2D"/>
    <w:rsid w:val="50440A06"/>
    <w:rsid w:val="505644F6"/>
    <w:rsid w:val="506E2B50"/>
    <w:rsid w:val="50785C87"/>
    <w:rsid w:val="508250F6"/>
    <w:rsid w:val="50963EF0"/>
    <w:rsid w:val="509E3987"/>
    <w:rsid w:val="50A06EBA"/>
    <w:rsid w:val="50A92DDB"/>
    <w:rsid w:val="50B93817"/>
    <w:rsid w:val="50BE405E"/>
    <w:rsid w:val="50C6577B"/>
    <w:rsid w:val="50C75459"/>
    <w:rsid w:val="50D16BC1"/>
    <w:rsid w:val="50D77449"/>
    <w:rsid w:val="50E2074A"/>
    <w:rsid w:val="510A147E"/>
    <w:rsid w:val="51123DFB"/>
    <w:rsid w:val="51150696"/>
    <w:rsid w:val="511600C5"/>
    <w:rsid w:val="511729C7"/>
    <w:rsid w:val="511E4130"/>
    <w:rsid w:val="511F0A79"/>
    <w:rsid w:val="51215BB8"/>
    <w:rsid w:val="51235A2B"/>
    <w:rsid w:val="513B53D4"/>
    <w:rsid w:val="513C181E"/>
    <w:rsid w:val="51462300"/>
    <w:rsid w:val="51496907"/>
    <w:rsid w:val="51576E2F"/>
    <w:rsid w:val="515C7FB9"/>
    <w:rsid w:val="515D4403"/>
    <w:rsid w:val="516D6307"/>
    <w:rsid w:val="517065DD"/>
    <w:rsid w:val="517270B8"/>
    <w:rsid w:val="51792B6A"/>
    <w:rsid w:val="517A55E8"/>
    <w:rsid w:val="517C5C51"/>
    <w:rsid w:val="5182302A"/>
    <w:rsid w:val="518F2363"/>
    <w:rsid w:val="51963BA3"/>
    <w:rsid w:val="519F7FAC"/>
    <w:rsid w:val="51A018B7"/>
    <w:rsid w:val="51A14737"/>
    <w:rsid w:val="51A2158E"/>
    <w:rsid w:val="51A8382E"/>
    <w:rsid w:val="51A87469"/>
    <w:rsid w:val="51AB4F07"/>
    <w:rsid w:val="51B67F42"/>
    <w:rsid w:val="51BB6817"/>
    <w:rsid w:val="51C96605"/>
    <w:rsid w:val="51CA475C"/>
    <w:rsid w:val="51CE5C4C"/>
    <w:rsid w:val="51D756BE"/>
    <w:rsid w:val="51DD57B6"/>
    <w:rsid w:val="51DF350E"/>
    <w:rsid w:val="51DF412A"/>
    <w:rsid w:val="51E34CC5"/>
    <w:rsid w:val="51FA173F"/>
    <w:rsid w:val="51FF3157"/>
    <w:rsid w:val="520B2C6D"/>
    <w:rsid w:val="52133C34"/>
    <w:rsid w:val="52140036"/>
    <w:rsid w:val="521F224C"/>
    <w:rsid w:val="522638BE"/>
    <w:rsid w:val="5229322C"/>
    <w:rsid w:val="522A0C52"/>
    <w:rsid w:val="522A1EF5"/>
    <w:rsid w:val="523D30C4"/>
    <w:rsid w:val="52403BF9"/>
    <w:rsid w:val="524150BF"/>
    <w:rsid w:val="5248662E"/>
    <w:rsid w:val="524D1DE7"/>
    <w:rsid w:val="52586AC4"/>
    <w:rsid w:val="527B219E"/>
    <w:rsid w:val="528449E8"/>
    <w:rsid w:val="52871B8B"/>
    <w:rsid w:val="52876BEF"/>
    <w:rsid w:val="528B2294"/>
    <w:rsid w:val="52987A13"/>
    <w:rsid w:val="52995E1D"/>
    <w:rsid w:val="52A37469"/>
    <w:rsid w:val="52BC333B"/>
    <w:rsid w:val="52CE1A3C"/>
    <w:rsid w:val="52D4020B"/>
    <w:rsid w:val="52E54444"/>
    <w:rsid w:val="52FF4BFF"/>
    <w:rsid w:val="53030788"/>
    <w:rsid w:val="530D327B"/>
    <w:rsid w:val="53170583"/>
    <w:rsid w:val="531B78A4"/>
    <w:rsid w:val="53234FBA"/>
    <w:rsid w:val="532663CB"/>
    <w:rsid w:val="533C7CC3"/>
    <w:rsid w:val="534731E7"/>
    <w:rsid w:val="534E4A4F"/>
    <w:rsid w:val="53596866"/>
    <w:rsid w:val="536870CF"/>
    <w:rsid w:val="53840791"/>
    <w:rsid w:val="538728EC"/>
    <w:rsid w:val="538D5A45"/>
    <w:rsid w:val="53930A17"/>
    <w:rsid w:val="53A17B6E"/>
    <w:rsid w:val="53A345E8"/>
    <w:rsid w:val="53AA69EC"/>
    <w:rsid w:val="53B94E28"/>
    <w:rsid w:val="53BA2060"/>
    <w:rsid w:val="53BD66C9"/>
    <w:rsid w:val="53EC4262"/>
    <w:rsid w:val="53F97037"/>
    <w:rsid w:val="540353D1"/>
    <w:rsid w:val="54060F9D"/>
    <w:rsid w:val="540B2184"/>
    <w:rsid w:val="540F235E"/>
    <w:rsid w:val="54213DCB"/>
    <w:rsid w:val="54222B22"/>
    <w:rsid w:val="542C7A98"/>
    <w:rsid w:val="54367746"/>
    <w:rsid w:val="543B63E2"/>
    <w:rsid w:val="544615F0"/>
    <w:rsid w:val="544909BE"/>
    <w:rsid w:val="544E2DBF"/>
    <w:rsid w:val="544E3809"/>
    <w:rsid w:val="545C145C"/>
    <w:rsid w:val="545D2C15"/>
    <w:rsid w:val="545E7B26"/>
    <w:rsid w:val="54605FBD"/>
    <w:rsid w:val="5463724D"/>
    <w:rsid w:val="54652DF3"/>
    <w:rsid w:val="54676070"/>
    <w:rsid w:val="546E0797"/>
    <w:rsid w:val="54761046"/>
    <w:rsid w:val="547F5C9A"/>
    <w:rsid w:val="54825E65"/>
    <w:rsid w:val="54892033"/>
    <w:rsid w:val="548A5B56"/>
    <w:rsid w:val="54A86A7C"/>
    <w:rsid w:val="54AF16DE"/>
    <w:rsid w:val="54B50CF1"/>
    <w:rsid w:val="54B95EEC"/>
    <w:rsid w:val="54C0394D"/>
    <w:rsid w:val="54CE39BB"/>
    <w:rsid w:val="54D166F6"/>
    <w:rsid w:val="54D71321"/>
    <w:rsid w:val="54D90BDE"/>
    <w:rsid w:val="54DA747E"/>
    <w:rsid w:val="54E131E2"/>
    <w:rsid w:val="54F43303"/>
    <w:rsid w:val="54F457BC"/>
    <w:rsid w:val="54FC2BCD"/>
    <w:rsid w:val="55131FEC"/>
    <w:rsid w:val="551630FC"/>
    <w:rsid w:val="5523557D"/>
    <w:rsid w:val="55301446"/>
    <w:rsid w:val="554307FE"/>
    <w:rsid w:val="554C05D6"/>
    <w:rsid w:val="555F1B75"/>
    <w:rsid w:val="556A47BF"/>
    <w:rsid w:val="55733F59"/>
    <w:rsid w:val="55863FAB"/>
    <w:rsid w:val="559A3850"/>
    <w:rsid w:val="55A03D0C"/>
    <w:rsid w:val="55B81E3A"/>
    <w:rsid w:val="55C4407D"/>
    <w:rsid w:val="55C62557"/>
    <w:rsid w:val="55CC6981"/>
    <w:rsid w:val="55D02071"/>
    <w:rsid w:val="55D2248F"/>
    <w:rsid w:val="55D226E7"/>
    <w:rsid w:val="55DE46F8"/>
    <w:rsid w:val="55DF4042"/>
    <w:rsid w:val="55E85F28"/>
    <w:rsid w:val="55F15FDB"/>
    <w:rsid w:val="55F86847"/>
    <w:rsid w:val="55F97623"/>
    <w:rsid w:val="56217B10"/>
    <w:rsid w:val="56394636"/>
    <w:rsid w:val="564718FB"/>
    <w:rsid w:val="564D42F2"/>
    <w:rsid w:val="565B4EAE"/>
    <w:rsid w:val="565F6532"/>
    <w:rsid w:val="5662423A"/>
    <w:rsid w:val="56647180"/>
    <w:rsid w:val="566E7783"/>
    <w:rsid w:val="56737851"/>
    <w:rsid w:val="567574D3"/>
    <w:rsid w:val="56853787"/>
    <w:rsid w:val="569128DB"/>
    <w:rsid w:val="56980CBC"/>
    <w:rsid w:val="56983D2A"/>
    <w:rsid w:val="569A2AE4"/>
    <w:rsid w:val="56A43F9B"/>
    <w:rsid w:val="56A44466"/>
    <w:rsid w:val="56A61297"/>
    <w:rsid w:val="56B66789"/>
    <w:rsid w:val="56BA4629"/>
    <w:rsid w:val="56C27357"/>
    <w:rsid w:val="56C4073B"/>
    <w:rsid w:val="56D4259B"/>
    <w:rsid w:val="56DC433C"/>
    <w:rsid w:val="56E62A25"/>
    <w:rsid w:val="56E70E91"/>
    <w:rsid w:val="56E945D8"/>
    <w:rsid w:val="56F140FB"/>
    <w:rsid w:val="56FA2572"/>
    <w:rsid w:val="57016C0B"/>
    <w:rsid w:val="570F38FB"/>
    <w:rsid w:val="57317A2D"/>
    <w:rsid w:val="573343D5"/>
    <w:rsid w:val="57480C7E"/>
    <w:rsid w:val="574E044C"/>
    <w:rsid w:val="577919F1"/>
    <w:rsid w:val="57837719"/>
    <w:rsid w:val="578F06BB"/>
    <w:rsid w:val="578F77B5"/>
    <w:rsid w:val="579537F7"/>
    <w:rsid w:val="579C19DA"/>
    <w:rsid w:val="57AD5472"/>
    <w:rsid w:val="57C14AD0"/>
    <w:rsid w:val="57CA10D2"/>
    <w:rsid w:val="57CD6833"/>
    <w:rsid w:val="57FD013B"/>
    <w:rsid w:val="57FF729E"/>
    <w:rsid w:val="58106CA6"/>
    <w:rsid w:val="58130A39"/>
    <w:rsid w:val="5814199B"/>
    <w:rsid w:val="581553C8"/>
    <w:rsid w:val="58176D45"/>
    <w:rsid w:val="58207C92"/>
    <w:rsid w:val="58247D50"/>
    <w:rsid w:val="58381E6A"/>
    <w:rsid w:val="583C62B7"/>
    <w:rsid w:val="5848185C"/>
    <w:rsid w:val="584F7D5F"/>
    <w:rsid w:val="585B1210"/>
    <w:rsid w:val="585E5941"/>
    <w:rsid w:val="585E782A"/>
    <w:rsid w:val="58656967"/>
    <w:rsid w:val="587E014A"/>
    <w:rsid w:val="5887397A"/>
    <w:rsid w:val="588D33E6"/>
    <w:rsid w:val="589A7317"/>
    <w:rsid w:val="58A04617"/>
    <w:rsid w:val="58A545FC"/>
    <w:rsid w:val="58B038B4"/>
    <w:rsid w:val="58C42F9A"/>
    <w:rsid w:val="58CA623D"/>
    <w:rsid w:val="58E53FCB"/>
    <w:rsid w:val="58EA2C4B"/>
    <w:rsid w:val="58F10149"/>
    <w:rsid w:val="58F7366B"/>
    <w:rsid w:val="59042F7C"/>
    <w:rsid w:val="591050F0"/>
    <w:rsid w:val="592430C6"/>
    <w:rsid w:val="59264D2A"/>
    <w:rsid w:val="59402925"/>
    <w:rsid w:val="5940688D"/>
    <w:rsid w:val="59446117"/>
    <w:rsid w:val="594D0BDB"/>
    <w:rsid w:val="59592ED1"/>
    <w:rsid w:val="59610D60"/>
    <w:rsid w:val="59635C60"/>
    <w:rsid w:val="596541E5"/>
    <w:rsid w:val="596C0F43"/>
    <w:rsid w:val="596D77E3"/>
    <w:rsid w:val="59744FD4"/>
    <w:rsid w:val="599C00A2"/>
    <w:rsid w:val="599F418D"/>
    <w:rsid w:val="59B23C9A"/>
    <w:rsid w:val="59B94819"/>
    <w:rsid w:val="59C84333"/>
    <w:rsid w:val="59DE28FC"/>
    <w:rsid w:val="59E05471"/>
    <w:rsid w:val="59EC3189"/>
    <w:rsid w:val="59F304B9"/>
    <w:rsid w:val="5A06741F"/>
    <w:rsid w:val="5A0B34F7"/>
    <w:rsid w:val="5A0D5EFA"/>
    <w:rsid w:val="5A100BCE"/>
    <w:rsid w:val="5A100EB5"/>
    <w:rsid w:val="5A114CC0"/>
    <w:rsid w:val="5A1D7EF7"/>
    <w:rsid w:val="5A2815BE"/>
    <w:rsid w:val="5A2E3986"/>
    <w:rsid w:val="5A356DD6"/>
    <w:rsid w:val="5A382C39"/>
    <w:rsid w:val="5A3C0583"/>
    <w:rsid w:val="5A42051E"/>
    <w:rsid w:val="5A445430"/>
    <w:rsid w:val="5A4E0741"/>
    <w:rsid w:val="5A534FF7"/>
    <w:rsid w:val="5A6B2DA3"/>
    <w:rsid w:val="5A6D0771"/>
    <w:rsid w:val="5A6D2FB5"/>
    <w:rsid w:val="5A787E0A"/>
    <w:rsid w:val="5A8265BB"/>
    <w:rsid w:val="5A890355"/>
    <w:rsid w:val="5A9601DB"/>
    <w:rsid w:val="5AB16789"/>
    <w:rsid w:val="5AB80165"/>
    <w:rsid w:val="5AC616A0"/>
    <w:rsid w:val="5AD259D8"/>
    <w:rsid w:val="5AD97181"/>
    <w:rsid w:val="5AE218F8"/>
    <w:rsid w:val="5AEB60C3"/>
    <w:rsid w:val="5AF93E8D"/>
    <w:rsid w:val="5AFE2F42"/>
    <w:rsid w:val="5B036C0E"/>
    <w:rsid w:val="5B0A4061"/>
    <w:rsid w:val="5B0C5FBD"/>
    <w:rsid w:val="5B1B000A"/>
    <w:rsid w:val="5B1C6576"/>
    <w:rsid w:val="5B2100D5"/>
    <w:rsid w:val="5B2C792B"/>
    <w:rsid w:val="5B4640CB"/>
    <w:rsid w:val="5B464B7E"/>
    <w:rsid w:val="5B4A13C2"/>
    <w:rsid w:val="5B6A2342"/>
    <w:rsid w:val="5B6E69CA"/>
    <w:rsid w:val="5B6F606C"/>
    <w:rsid w:val="5B710FC8"/>
    <w:rsid w:val="5B716D64"/>
    <w:rsid w:val="5B743C52"/>
    <w:rsid w:val="5B772B5D"/>
    <w:rsid w:val="5B7B067C"/>
    <w:rsid w:val="5B8453BF"/>
    <w:rsid w:val="5B890F47"/>
    <w:rsid w:val="5B9A3F92"/>
    <w:rsid w:val="5B9B465A"/>
    <w:rsid w:val="5B9E2B29"/>
    <w:rsid w:val="5BA036A9"/>
    <w:rsid w:val="5BA5170C"/>
    <w:rsid w:val="5BA861E5"/>
    <w:rsid w:val="5BAC7567"/>
    <w:rsid w:val="5BBE2742"/>
    <w:rsid w:val="5BC551D7"/>
    <w:rsid w:val="5BCF5FD7"/>
    <w:rsid w:val="5BD64CF3"/>
    <w:rsid w:val="5BD77AF6"/>
    <w:rsid w:val="5BFB2A09"/>
    <w:rsid w:val="5BFB638B"/>
    <w:rsid w:val="5C014C14"/>
    <w:rsid w:val="5C0F6CB9"/>
    <w:rsid w:val="5C16288F"/>
    <w:rsid w:val="5C207758"/>
    <w:rsid w:val="5C2969DD"/>
    <w:rsid w:val="5C517365"/>
    <w:rsid w:val="5C5A7340"/>
    <w:rsid w:val="5C617983"/>
    <w:rsid w:val="5C6F147B"/>
    <w:rsid w:val="5C764E25"/>
    <w:rsid w:val="5C7C3DBC"/>
    <w:rsid w:val="5C9763F1"/>
    <w:rsid w:val="5C9E7C2E"/>
    <w:rsid w:val="5CA15D23"/>
    <w:rsid w:val="5CAC4F60"/>
    <w:rsid w:val="5CAC5175"/>
    <w:rsid w:val="5CC334F6"/>
    <w:rsid w:val="5CC61D78"/>
    <w:rsid w:val="5CCC07B0"/>
    <w:rsid w:val="5CD90705"/>
    <w:rsid w:val="5CEB1B81"/>
    <w:rsid w:val="5CEC2D02"/>
    <w:rsid w:val="5CEE257E"/>
    <w:rsid w:val="5CF86D3C"/>
    <w:rsid w:val="5D0015BF"/>
    <w:rsid w:val="5D06031B"/>
    <w:rsid w:val="5D0C3DC7"/>
    <w:rsid w:val="5D193471"/>
    <w:rsid w:val="5D1E77D4"/>
    <w:rsid w:val="5D3025FF"/>
    <w:rsid w:val="5D324075"/>
    <w:rsid w:val="5D3F4041"/>
    <w:rsid w:val="5D4261AF"/>
    <w:rsid w:val="5D4C134D"/>
    <w:rsid w:val="5D6111F2"/>
    <w:rsid w:val="5D6E6F86"/>
    <w:rsid w:val="5D77069D"/>
    <w:rsid w:val="5D8A3A67"/>
    <w:rsid w:val="5D9F4100"/>
    <w:rsid w:val="5DB00D3B"/>
    <w:rsid w:val="5DC243DB"/>
    <w:rsid w:val="5DCF5FA1"/>
    <w:rsid w:val="5DD30236"/>
    <w:rsid w:val="5DDD7DB4"/>
    <w:rsid w:val="5DE72BB9"/>
    <w:rsid w:val="5DF17B97"/>
    <w:rsid w:val="5DFE49EE"/>
    <w:rsid w:val="5DFF737F"/>
    <w:rsid w:val="5E00208A"/>
    <w:rsid w:val="5E0A43F8"/>
    <w:rsid w:val="5E0C5298"/>
    <w:rsid w:val="5E1272FB"/>
    <w:rsid w:val="5E150433"/>
    <w:rsid w:val="5E1702B0"/>
    <w:rsid w:val="5E1C1670"/>
    <w:rsid w:val="5E232808"/>
    <w:rsid w:val="5E3B61F4"/>
    <w:rsid w:val="5E442AFD"/>
    <w:rsid w:val="5E4E152D"/>
    <w:rsid w:val="5E5100E1"/>
    <w:rsid w:val="5E532D1B"/>
    <w:rsid w:val="5E591204"/>
    <w:rsid w:val="5E6663C5"/>
    <w:rsid w:val="5E690D5E"/>
    <w:rsid w:val="5E6C4FDA"/>
    <w:rsid w:val="5E746F2A"/>
    <w:rsid w:val="5E775B99"/>
    <w:rsid w:val="5E8D32BA"/>
    <w:rsid w:val="5EA93002"/>
    <w:rsid w:val="5EB13B1E"/>
    <w:rsid w:val="5EBA5148"/>
    <w:rsid w:val="5EBC21A5"/>
    <w:rsid w:val="5EC81CA5"/>
    <w:rsid w:val="5ECE6451"/>
    <w:rsid w:val="5ED460B2"/>
    <w:rsid w:val="5ED91797"/>
    <w:rsid w:val="5EDF206B"/>
    <w:rsid w:val="5EEB40CF"/>
    <w:rsid w:val="5EF8260C"/>
    <w:rsid w:val="5EFC246C"/>
    <w:rsid w:val="5F061CD1"/>
    <w:rsid w:val="5F132FF0"/>
    <w:rsid w:val="5F1E30E5"/>
    <w:rsid w:val="5F306901"/>
    <w:rsid w:val="5F377813"/>
    <w:rsid w:val="5F39549A"/>
    <w:rsid w:val="5F3D7AAC"/>
    <w:rsid w:val="5F4E354E"/>
    <w:rsid w:val="5F71439A"/>
    <w:rsid w:val="5F812EE3"/>
    <w:rsid w:val="5F8E39E6"/>
    <w:rsid w:val="5F922566"/>
    <w:rsid w:val="5F9A7B6B"/>
    <w:rsid w:val="5FAA70C2"/>
    <w:rsid w:val="5FAB1230"/>
    <w:rsid w:val="5FB454E8"/>
    <w:rsid w:val="5FC376E3"/>
    <w:rsid w:val="5FC559AB"/>
    <w:rsid w:val="5FC66C44"/>
    <w:rsid w:val="5FC876E1"/>
    <w:rsid w:val="5FCD0F39"/>
    <w:rsid w:val="5FD70898"/>
    <w:rsid w:val="5FDB1CEF"/>
    <w:rsid w:val="6000247B"/>
    <w:rsid w:val="60026C59"/>
    <w:rsid w:val="600D2427"/>
    <w:rsid w:val="601F0A73"/>
    <w:rsid w:val="604416A4"/>
    <w:rsid w:val="60465395"/>
    <w:rsid w:val="60477519"/>
    <w:rsid w:val="60575B6D"/>
    <w:rsid w:val="606A5821"/>
    <w:rsid w:val="606E2515"/>
    <w:rsid w:val="606E6BE4"/>
    <w:rsid w:val="6086096B"/>
    <w:rsid w:val="608C7161"/>
    <w:rsid w:val="60910B2A"/>
    <w:rsid w:val="609A1105"/>
    <w:rsid w:val="60A95C74"/>
    <w:rsid w:val="60BB50C1"/>
    <w:rsid w:val="60C44D75"/>
    <w:rsid w:val="60C54619"/>
    <w:rsid w:val="60CC3323"/>
    <w:rsid w:val="60CE267F"/>
    <w:rsid w:val="60D115A4"/>
    <w:rsid w:val="60D35802"/>
    <w:rsid w:val="60E0624B"/>
    <w:rsid w:val="60E1532B"/>
    <w:rsid w:val="60E42908"/>
    <w:rsid w:val="60EB1E1F"/>
    <w:rsid w:val="60EC1F9E"/>
    <w:rsid w:val="60F0283F"/>
    <w:rsid w:val="610067DF"/>
    <w:rsid w:val="610805B6"/>
    <w:rsid w:val="61105C30"/>
    <w:rsid w:val="61114DB3"/>
    <w:rsid w:val="611B075B"/>
    <w:rsid w:val="611C0A48"/>
    <w:rsid w:val="61202836"/>
    <w:rsid w:val="612C1086"/>
    <w:rsid w:val="61330DFC"/>
    <w:rsid w:val="613A76B5"/>
    <w:rsid w:val="613E7918"/>
    <w:rsid w:val="61420DBB"/>
    <w:rsid w:val="61443667"/>
    <w:rsid w:val="61452033"/>
    <w:rsid w:val="6148394B"/>
    <w:rsid w:val="614A6ACB"/>
    <w:rsid w:val="616630C6"/>
    <w:rsid w:val="61665F39"/>
    <w:rsid w:val="616B0236"/>
    <w:rsid w:val="617B16A8"/>
    <w:rsid w:val="619028A6"/>
    <w:rsid w:val="61A82072"/>
    <w:rsid w:val="61B0024D"/>
    <w:rsid w:val="61B22B22"/>
    <w:rsid w:val="61BC65D1"/>
    <w:rsid w:val="61C675E9"/>
    <w:rsid w:val="61CB5C30"/>
    <w:rsid w:val="61D758F4"/>
    <w:rsid w:val="61D80FC7"/>
    <w:rsid w:val="61E33148"/>
    <w:rsid w:val="61EB1D46"/>
    <w:rsid w:val="61FF1DCD"/>
    <w:rsid w:val="620F5E0E"/>
    <w:rsid w:val="6215352D"/>
    <w:rsid w:val="622324D6"/>
    <w:rsid w:val="62246687"/>
    <w:rsid w:val="62264FF6"/>
    <w:rsid w:val="62293CA4"/>
    <w:rsid w:val="62355ABE"/>
    <w:rsid w:val="62426A55"/>
    <w:rsid w:val="625379F3"/>
    <w:rsid w:val="625F1916"/>
    <w:rsid w:val="626058A9"/>
    <w:rsid w:val="627002FC"/>
    <w:rsid w:val="627A4079"/>
    <w:rsid w:val="629B46A2"/>
    <w:rsid w:val="62AC2443"/>
    <w:rsid w:val="62B0741E"/>
    <w:rsid w:val="62B91FBD"/>
    <w:rsid w:val="62BE7C14"/>
    <w:rsid w:val="62C165DD"/>
    <w:rsid w:val="62CB7263"/>
    <w:rsid w:val="62DA0E37"/>
    <w:rsid w:val="62DB4EDF"/>
    <w:rsid w:val="62DD1B78"/>
    <w:rsid w:val="62DE182A"/>
    <w:rsid w:val="62E32931"/>
    <w:rsid w:val="62E609AF"/>
    <w:rsid w:val="62EE2350"/>
    <w:rsid w:val="62F62D17"/>
    <w:rsid w:val="63076198"/>
    <w:rsid w:val="63197191"/>
    <w:rsid w:val="632F1AEC"/>
    <w:rsid w:val="6332257C"/>
    <w:rsid w:val="633F7B08"/>
    <w:rsid w:val="63534332"/>
    <w:rsid w:val="635C2933"/>
    <w:rsid w:val="635C3D24"/>
    <w:rsid w:val="635E2BE0"/>
    <w:rsid w:val="63636EB0"/>
    <w:rsid w:val="636C3444"/>
    <w:rsid w:val="63777076"/>
    <w:rsid w:val="6379766A"/>
    <w:rsid w:val="637E241F"/>
    <w:rsid w:val="63836FE7"/>
    <w:rsid w:val="63840FA0"/>
    <w:rsid w:val="63907C89"/>
    <w:rsid w:val="6398788F"/>
    <w:rsid w:val="63A07392"/>
    <w:rsid w:val="63A15013"/>
    <w:rsid w:val="63A71D99"/>
    <w:rsid w:val="63A857C6"/>
    <w:rsid w:val="63C079C8"/>
    <w:rsid w:val="63C41718"/>
    <w:rsid w:val="63C50CA4"/>
    <w:rsid w:val="63D53F5A"/>
    <w:rsid w:val="63DA198A"/>
    <w:rsid w:val="63EC42CE"/>
    <w:rsid w:val="63F26395"/>
    <w:rsid w:val="63FD3C8B"/>
    <w:rsid w:val="63FE2017"/>
    <w:rsid w:val="64086BE0"/>
    <w:rsid w:val="640E1042"/>
    <w:rsid w:val="64103871"/>
    <w:rsid w:val="64210CCB"/>
    <w:rsid w:val="6446311F"/>
    <w:rsid w:val="6449081E"/>
    <w:rsid w:val="6455400F"/>
    <w:rsid w:val="64572E6D"/>
    <w:rsid w:val="64593DFA"/>
    <w:rsid w:val="645B1206"/>
    <w:rsid w:val="645E5D2E"/>
    <w:rsid w:val="646D06C4"/>
    <w:rsid w:val="646E2EB8"/>
    <w:rsid w:val="647E7E08"/>
    <w:rsid w:val="64830F69"/>
    <w:rsid w:val="64931F11"/>
    <w:rsid w:val="649A0ABA"/>
    <w:rsid w:val="64AB6DAD"/>
    <w:rsid w:val="64AC4B27"/>
    <w:rsid w:val="64AF3FF1"/>
    <w:rsid w:val="64B23CB6"/>
    <w:rsid w:val="64BC17BB"/>
    <w:rsid w:val="64BD2338"/>
    <w:rsid w:val="64C4071B"/>
    <w:rsid w:val="64C427EC"/>
    <w:rsid w:val="64C6511B"/>
    <w:rsid w:val="64D77EEC"/>
    <w:rsid w:val="64DA391C"/>
    <w:rsid w:val="64F1178E"/>
    <w:rsid w:val="64FC5F3B"/>
    <w:rsid w:val="65111636"/>
    <w:rsid w:val="651D0BB5"/>
    <w:rsid w:val="652C1CD6"/>
    <w:rsid w:val="652D1935"/>
    <w:rsid w:val="65404114"/>
    <w:rsid w:val="655532F7"/>
    <w:rsid w:val="65783306"/>
    <w:rsid w:val="657866C4"/>
    <w:rsid w:val="658247E4"/>
    <w:rsid w:val="65827F06"/>
    <w:rsid w:val="658C75DF"/>
    <w:rsid w:val="659C3613"/>
    <w:rsid w:val="659D195E"/>
    <w:rsid w:val="659F0550"/>
    <w:rsid w:val="65A37DBC"/>
    <w:rsid w:val="65AB71D2"/>
    <w:rsid w:val="65AD3140"/>
    <w:rsid w:val="65B540D9"/>
    <w:rsid w:val="65C1767E"/>
    <w:rsid w:val="65D122BF"/>
    <w:rsid w:val="65D57E0E"/>
    <w:rsid w:val="65D61B1A"/>
    <w:rsid w:val="65D7651B"/>
    <w:rsid w:val="65E3601A"/>
    <w:rsid w:val="65E62ED8"/>
    <w:rsid w:val="65EB6C6F"/>
    <w:rsid w:val="65F10948"/>
    <w:rsid w:val="65F35F04"/>
    <w:rsid w:val="6601485A"/>
    <w:rsid w:val="66046B4E"/>
    <w:rsid w:val="6607117A"/>
    <w:rsid w:val="6615758F"/>
    <w:rsid w:val="66196ECC"/>
    <w:rsid w:val="661E50E3"/>
    <w:rsid w:val="66200F58"/>
    <w:rsid w:val="663E460A"/>
    <w:rsid w:val="6657159A"/>
    <w:rsid w:val="665D343F"/>
    <w:rsid w:val="66644753"/>
    <w:rsid w:val="66694836"/>
    <w:rsid w:val="666E4B39"/>
    <w:rsid w:val="66727DB4"/>
    <w:rsid w:val="66760BD7"/>
    <w:rsid w:val="66770C98"/>
    <w:rsid w:val="66782D0F"/>
    <w:rsid w:val="669361A9"/>
    <w:rsid w:val="669E28FB"/>
    <w:rsid w:val="66A3333B"/>
    <w:rsid w:val="66A43DB4"/>
    <w:rsid w:val="66A71C88"/>
    <w:rsid w:val="66EE6FD6"/>
    <w:rsid w:val="6703713B"/>
    <w:rsid w:val="670F2CA0"/>
    <w:rsid w:val="671F4472"/>
    <w:rsid w:val="672F1E85"/>
    <w:rsid w:val="676736B6"/>
    <w:rsid w:val="677364EC"/>
    <w:rsid w:val="67750ABD"/>
    <w:rsid w:val="678122F4"/>
    <w:rsid w:val="678D34E0"/>
    <w:rsid w:val="678D736E"/>
    <w:rsid w:val="678E2725"/>
    <w:rsid w:val="679B08DF"/>
    <w:rsid w:val="67A40605"/>
    <w:rsid w:val="67A7026C"/>
    <w:rsid w:val="67CF0021"/>
    <w:rsid w:val="67D742CB"/>
    <w:rsid w:val="67DE0D83"/>
    <w:rsid w:val="67DF1078"/>
    <w:rsid w:val="67EC7DE2"/>
    <w:rsid w:val="67EF03F0"/>
    <w:rsid w:val="67FD29F7"/>
    <w:rsid w:val="68027B8F"/>
    <w:rsid w:val="680728BA"/>
    <w:rsid w:val="680817AE"/>
    <w:rsid w:val="68206398"/>
    <w:rsid w:val="682279B0"/>
    <w:rsid w:val="68231AA6"/>
    <w:rsid w:val="6832387B"/>
    <w:rsid w:val="683B523E"/>
    <w:rsid w:val="684405CC"/>
    <w:rsid w:val="68496D13"/>
    <w:rsid w:val="68503BF2"/>
    <w:rsid w:val="68513875"/>
    <w:rsid w:val="68692696"/>
    <w:rsid w:val="688D2B33"/>
    <w:rsid w:val="689C79FC"/>
    <w:rsid w:val="689D6171"/>
    <w:rsid w:val="68A70438"/>
    <w:rsid w:val="68A87DD3"/>
    <w:rsid w:val="68AA72DB"/>
    <w:rsid w:val="68AD4BCE"/>
    <w:rsid w:val="68CC3DE0"/>
    <w:rsid w:val="68E324DC"/>
    <w:rsid w:val="68F6776E"/>
    <w:rsid w:val="690A2A6D"/>
    <w:rsid w:val="69142C71"/>
    <w:rsid w:val="69172F0A"/>
    <w:rsid w:val="69214729"/>
    <w:rsid w:val="6922067B"/>
    <w:rsid w:val="69321A61"/>
    <w:rsid w:val="694A4E99"/>
    <w:rsid w:val="69520496"/>
    <w:rsid w:val="695C6610"/>
    <w:rsid w:val="696449B4"/>
    <w:rsid w:val="69695B9C"/>
    <w:rsid w:val="696A640D"/>
    <w:rsid w:val="696C2BC7"/>
    <w:rsid w:val="697164A6"/>
    <w:rsid w:val="69792ADF"/>
    <w:rsid w:val="69997176"/>
    <w:rsid w:val="699A2A0E"/>
    <w:rsid w:val="699C354E"/>
    <w:rsid w:val="69A311FE"/>
    <w:rsid w:val="69B311E0"/>
    <w:rsid w:val="69C92579"/>
    <w:rsid w:val="69CB25F8"/>
    <w:rsid w:val="69D503B0"/>
    <w:rsid w:val="69DF1C8C"/>
    <w:rsid w:val="69E42E40"/>
    <w:rsid w:val="69E9611D"/>
    <w:rsid w:val="69F149EA"/>
    <w:rsid w:val="69FE5BB5"/>
    <w:rsid w:val="6A0C66E5"/>
    <w:rsid w:val="6A137278"/>
    <w:rsid w:val="6A15629A"/>
    <w:rsid w:val="6A1B4786"/>
    <w:rsid w:val="6A25691C"/>
    <w:rsid w:val="6A2E45BB"/>
    <w:rsid w:val="6A362A0F"/>
    <w:rsid w:val="6A55282D"/>
    <w:rsid w:val="6A602333"/>
    <w:rsid w:val="6A6447E5"/>
    <w:rsid w:val="6A76433A"/>
    <w:rsid w:val="6A7A4451"/>
    <w:rsid w:val="6A7D22D8"/>
    <w:rsid w:val="6A81547A"/>
    <w:rsid w:val="6A917936"/>
    <w:rsid w:val="6A930F1A"/>
    <w:rsid w:val="6A9339C4"/>
    <w:rsid w:val="6A94212E"/>
    <w:rsid w:val="6A9D0F09"/>
    <w:rsid w:val="6AAF7B96"/>
    <w:rsid w:val="6AB271BF"/>
    <w:rsid w:val="6AB303A3"/>
    <w:rsid w:val="6AB44861"/>
    <w:rsid w:val="6AB978A5"/>
    <w:rsid w:val="6ACF11A8"/>
    <w:rsid w:val="6AD47CD9"/>
    <w:rsid w:val="6ADA325C"/>
    <w:rsid w:val="6ADD01AA"/>
    <w:rsid w:val="6AF25534"/>
    <w:rsid w:val="6AF76936"/>
    <w:rsid w:val="6AF9322F"/>
    <w:rsid w:val="6AFB08D2"/>
    <w:rsid w:val="6B0344BB"/>
    <w:rsid w:val="6B0530ED"/>
    <w:rsid w:val="6B277907"/>
    <w:rsid w:val="6B296584"/>
    <w:rsid w:val="6B322D81"/>
    <w:rsid w:val="6B340849"/>
    <w:rsid w:val="6B3928B6"/>
    <w:rsid w:val="6B462CE0"/>
    <w:rsid w:val="6B470A05"/>
    <w:rsid w:val="6B4F273B"/>
    <w:rsid w:val="6B514E1B"/>
    <w:rsid w:val="6B577EAB"/>
    <w:rsid w:val="6B6432ED"/>
    <w:rsid w:val="6B786F8B"/>
    <w:rsid w:val="6B866978"/>
    <w:rsid w:val="6B891E19"/>
    <w:rsid w:val="6B941FCC"/>
    <w:rsid w:val="6B9D3663"/>
    <w:rsid w:val="6B9E2231"/>
    <w:rsid w:val="6BA935C4"/>
    <w:rsid w:val="6BC43F1F"/>
    <w:rsid w:val="6BC6761F"/>
    <w:rsid w:val="6BC91D6E"/>
    <w:rsid w:val="6BD839B0"/>
    <w:rsid w:val="6BDB5C94"/>
    <w:rsid w:val="6BDB6090"/>
    <w:rsid w:val="6BDC1899"/>
    <w:rsid w:val="6BED3CC8"/>
    <w:rsid w:val="6BF07518"/>
    <w:rsid w:val="6BF91AB4"/>
    <w:rsid w:val="6C040C2B"/>
    <w:rsid w:val="6C046802"/>
    <w:rsid w:val="6C122656"/>
    <w:rsid w:val="6C1B696A"/>
    <w:rsid w:val="6C285280"/>
    <w:rsid w:val="6C2B4CD0"/>
    <w:rsid w:val="6C394A87"/>
    <w:rsid w:val="6C396A79"/>
    <w:rsid w:val="6C3B6833"/>
    <w:rsid w:val="6C3E677A"/>
    <w:rsid w:val="6C4F610C"/>
    <w:rsid w:val="6C7B5E0B"/>
    <w:rsid w:val="6C7F69A8"/>
    <w:rsid w:val="6C8456D5"/>
    <w:rsid w:val="6C8E5586"/>
    <w:rsid w:val="6C9E52CA"/>
    <w:rsid w:val="6CA21347"/>
    <w:rsid w:val="6CAC757A"/>
    <w:rsid w:val="6CB12C8C"/>
    <w:rsid w:val="6CB32FFA"/>
    <w:rsid w:val="6CB973DE"/>
    <w:rsid w:val="6CC3557E"/>
    <w:rsid w:val="6CC96B43"/>
    <w:rsid w:val="6CD86545"/>
    <w:rsid w:val="6CDE1346"/>
    <w:rsid w:val="6CEA65C7"/>
    <w:rsid w:val="6CF648CC"/>
    <w:rsid w:val="6D0336F9"/>
    <w:rsid w:val="6D064EC8"/>
    <w:rsid w:val="6D24745D"/>
    <w:rsid w:val="6D260C96"/>
    <w:rsid w:val="6D36300F"/>
    <w:rsid w:val="6D413F66"/>
    <w:rsid w:val="6D434685"/>
    <w:rsid w:val="6D4836EB"/>
    <w:rsid w:val="6D680F99"/>
    <w:rsid w:val="6D6F0E9F"/>
    <w:rsid w:val="6D9F0301"/>
    <w:rsid w:val="6DB678CB"/>
    <w:rsid w:val="6DBD23B8"/>
    <w:rsid w:val="6DC242FF"/>
    <w:rsid w:val="6DC30087"/>
    <w:rsid w:val="6DDF30E4"/>
    <w:rsid w:val="6DEC597F"/>
    <w:rsid w:val="6DF450FF"/>
    <w:rsid w:val="6DF46255"/>
    <w:rsid w:val="6DFC5EAD"/>
    <w:rsid w:val="6E1A4D22"/>
    <w:rsid w:val="6E2C0D58"/>
    <w:rsid w:val="6E2D02DD"/>
    <w:rsid w:val="6E2E476A"/>
    <w:rsid w:val="6E37612F"/>
    <w:rsid w:val="6E4C5B50"/>
    <w:rsid w:val="6E642863"/>
    <w:rsid w:val="6E6D7CE0"/>
    <w:rsid w:val="6E923D3F"/>
    <w:rsid w:val="6EA16762"/>
    <w:rsid w:val="6EAF0BF3"/>
    <w:rsid w:val="6EB02F99"/>
    <w:rsid w:val="6EBE1A41"/>
    <w:rsid w:val="6EC0731A"/>
    <w:rsid w:val="6EC201A9"/>
    <w:rsid w:val="6EC529FD"/>
    <w:rsid w:val="6EF07EC9"/>
    <w:rsid w:val="6EFB632C"/>
    <w:rsid w:val="6F0714A5"/>
    <w:rsid w:val="6F0E30D9"/>
    <w:rsid w:val="6F183C2E"/>
    <w:rsid w:val="6F1A7F51"/>
    <w:rsid w:val="6F264D12"/>
    <w:rsid w:val="6F290204"/>
    <w:rsid w:val="6F2C7DCC"/>
    <w:rsid w:val="6F2D30A9"/>
    <w:rsid w:val="6F322600"/>
    <w:rsid w:val="6F3327D0"/>
    <w:rsid w:val="6F33787F"/>
    <w:rsid w:val="6F345DA1"/>
    <w:rsid w:val="6F35675E"/>
    <w:rsid w:val="6F45623B"/>
    <w:rsid w:val="6F460A3C"/>
    <w:rsid w:val="6F461E62"/>
    <w:rsid w:val="6F4A0249"/>
    <w:rsid w:val="6F5233AC"/>
    <w:rsid w:val="6F536E13"/>
    <w:rsid w:val="6F7D735D"/>
    <w:rsid w:val="6F7F634F"/>
    <w:rsid w:val="6F817ABF"/>
    <w:rsid w:val="6F852C45"/>
    <w:rsid w:val="6F861E4D"/>
    <w:rsid w:val="6F9B66B7"/>
    <w:rsid w:val="6F9F2391"/>
    <w:rsid w:val="6FAF7B43"/>
    <w:rsid w:val="6FB552C1"/>
    <w:rsid w:val="6FB813DA"/>
    <w:rsid w:val="6FBD2CF9"/>
    <w:rsid w:val="6FC43F33"/>
    <w:rsid w:val="6FCA5E05"/>
    <w:rsid w:val="6FD511D2"/>
    <w:rsid w:val="6FF87E02"/>
    <w:rsid w:val="6FFE0C27"/>
    <w:rsid w:val="6FFF1D0E"/>
    <w:rsid w:val="70023EF4"/>
    <w:rsid w:val="700C0DDB"/>
    <w:rsid w:val="700C30E5"/>
    <w:rsid w:val="70234C2A"/>
    <w:rsid w:val="702E6608"/>
    <w:rsid w:val="7031537B"/>
    <w:rsid w:val="7035627A"/>
    <w:rsid w:val="703774A1"/>
    <w:rsid w:val="703C60B0"/>
    <w:rsid w:val="7049004D"/>
    <w:rsid w:val="704D6F6E"/>
    <w:rsid w:val="704E6356"/>
    <w:rsid w:val="70536C3C"/>
    <w:rsid w:val="705B5C8B"/>
    <w:rsid w:val="706106E9"/>
    <w:rsid w:val="706F6846"/>
    <w:rsid w:val="70716992"/>
    <w:rsid w:val="70816334"/>
    <w:rsid w:val="709A06F7"/>
    <w:rsid w:val="709C5A9C"/>
    <w:rsid w:val="709F599B"/>
    <w:rsid w:val="70A02966"/>
    <w:rsid w:val="70A316C1"/>
    <w:rsid w:val="70A64BAB"/>
    <w:rsid w:val="70B369E3"/>
    <w:rsid w:val="70BF18F1"/>
    <w:rsid w:val="70C44BE7"/>
    <w:rsid w:val="70C65C06"/>
    <w:rsid w:val="70C942BC"/>
    <w:rsid w:val="70CE1848"/>
    <w:rsid w:val="70D94197"/>
    <w:rsid w:val="70EC3566"/>
    <w:rsid w:val="70FF6A13"/>
    <w:rsid w:val="7115523A"/>
    <w:rsid w:val="711B525A"/>
    <w:rsid w:val="712D47C3"/>
    <w:rsid w:val="712E0FDD"/>
    <w:rsid w:val="7133503F"/>
    <w:rsid w:val="7138443C"/>
    <w:rsid w:val="713C3926"/>
    <w:rsid w:val="71495716"/>
    <w:rsid w:val="715E10D1"/>
    <w:rsid w:val="716B6DA7"/>
    <w:rsid w:val="7170132E"/>
    <w:rsid w:val="717F6036"/>
    <w:rsid w:val="718423DB"/>
    <w:rsid w:val="71A102E1"/>
    <w:rsid w:val="71A62743"/>
    <w:rsid w:val="71AB0D49"/>
    <w:rsid w:val="71B11300"/>
    <w:rsid w:val="71B41465"/>
    <w:rsid w:val="71C52FA3"/>
    <w:rsid w:val="71C54CF1"/>
    <w:rsid w:val="71C8300F"/>
    <w:rsid w:val="71C903BF"/>
    <w:rsid w:val="71C94930"/>
    <w:rsid w:val="71DD3962"/>
    <w:rsid w:val="71F540EF"/>
    <w:rsid w:val="71FF7992"/>
    <w:rsid w:val="72107D9F"/>
    <w:rsid w:val="72122369"/>
    <w:rsid w:val="721643D1"/>
    <w:rsid w:val="72263B15"/>
    <w:rsid w:val="72402198"/>
    <w:rsid w:val="72412528"/>
    <w:rsid w:val="724128C6"/>
    <w:rsid w:val="724441A8"/>
    <w:rsid w:val="724D02ED"/>
    <w:rsid w:val="72595B49"/>
    <w:rsid w:val="726F6D5C"/>
    <w:rsid w:val="7275483D"/>
    <w:rsid w:val="72765C32"/>
    <w:rsid w:val="728E5B8B"/>
    <w:rsid w:val="72906E04"/>
    <w:rsid w:val="729F1235"/>
    <w:rsid w:val="729F77E1"/>
    <w:rsid w:val="72A102BB"/>
    <w:rsid w:val="72B478D1"/>
    <w:rsid w:val="72B47B95"/>
    <w:rsid w:val="72B53423"/>
    <w:rsid w:val="72BF79CF"/>
    <w:rsid w:val="72C7434F"/>
    <w:rsid w:val="72CA19C1"/>
    <w:rsid w:val="72DE2745"/>
    <w:rsid w:val="72E054B1"/>
    <w:rsid w:val="72E104EE"/>
    <w:rsid w:val="72E607CB"/>
    <w:rsid w:val="72E824FD"/>
    <w:rsid w:val="72EA4FFC"/>
    <w:rsid w:val="72FE7918"/>
    <w:rsid w:val="73047A73"/>
    <w:rsid w:val="73114E7C"/>
    <w:rsid w:val="73156D94"/>
    <w:rsid w:val="7318429A"/>
    <w:rsid w:val="732D5CDB"/>
    <w:rsid w:val="73334648"/>
    <w:rsid w:val="734D4252"/>
    <w:rsid w:val="73555484"/>
    <w:rsid w:val="736562BD"/>
    <w:rsid w:val="737B6E01"/>
    <w:rsid w:val="738B68E0"/>
    <w:rsid w:val="738D3F2F"/>
    <w:rsid w:val="7391660C"/>
    <w:rsid w:val="739E52C3"/>
    <w:rsid w:val="73A45FC4"/>
    <w:rsid w:val="73AA6454"/>
    <w:rsid w:val="73AB73FF"/>
    <w:rsid w:val="73C26A0C"/>
    <w:rsid w:val="73CE552C"/>
    <w:rsid w:val="73DA682A"/>
    <w:rsid w:val="73F50B4E"/>
    <w:rsid w:val="74196000"/>
    <w:rsid w:val="7425633E"/>
    <w:rsid w:val="7427607C"/>
    <w:rsid w:val="744228E5"/>
    <w:rsid w:val="74433E84"/>
    <w:rsid w:val="74586E75"/>
    <w:rsid w:val="746077C0"/>
    <w:rsid w:val="747A4689"/>
    <w:rsid w:val="748616D3"/>
    <w:rsid w:val="749909AF"/>
    <w:rsid w:val="74A04908"/>
    <w:rsid w:val="74A940DE"/>
    <w:rsid w:val="74AC43EA"/>
    <w:rsid w:val="74B72E19"/>
    <w:rsid w:val="74BA5741"/>
    <w:rsid w:val="74C462AD"/>
    <w:rsid w:val="74C46333"/>
    <w:rsid w:val="74C9141D"/>
    <w:rsid w:val="74D851A6"/>
    <w:rsid w:val="74DA056B"/>
    <w:rsid w:val="74EA4752"/>
    <w:rsid w:val="74EA6CC5"/>
    <w:rsid w:val="74EE476F"/>
    <w:rsid w:val="74FA1A86"/>
    <w:rsid w:val="750C07C0"/>
    <w:rsid w:val="750E7294"/>
    <w:rsid w:val="7512566A"/>
    <w:rsid w:val="75150800"/>
    <w:rsid w:val="75201419"/>
    <w:rsid w:val="75235EAD"/>
    <w:rsid w:val="752524C3"/>
    <w:rsid w:val="752A4FEA"/>
    <w:rsid w:val="752E62B7"/>
    <w:rsid w:val="753303E3"/>
    <w:rsid w:val="75342C09"/>
    <w:rsid w:val="753A14EF"/>
    <w:rsid w:val="75467961"/>
    <w:rsid w:val="75550C68"/>
    <w:rsid w:val="75632990"/>
    <w:rsid w:val="7567515E"/>
    <w:rsid w:val="75733B41"/>
    <w:rsid w:val="758C63AD"/>
    <w:rsid w:val="7590597C"/>
    <w:rsid w:val="759A1FF9"/>
    <w:rsid w:val="75A05D4D"/>
    <w:rsid w:val="75F24E3F"/>
    <w:rsid w:val="75FE013E"/>
    <w:rsid w:val="76066D64"/>
    <w:rsid w:val="76073E2F"/>
    <w:rsid w:val="760A5457"/>
    <w:rsid w:val="761C35EB"/>
    <w:rsid w:val="761D10F5"/>
    <w:rsid w:val="76206BF8"/>
    <w:rsid w:val="76217E36"/>
    <w:rsid w:val="762348EF"/>
    <w:rsid w:val="763358B6"/>
    <w:rsid w:val="763D14D8"/>
    <w:rsid w:val="764351DD"/>
    <w:rsid w:val="764470CE"/>
    <w:rsid w:val="764D5B5A"/>
    <w:rsid w:val="76632F71"/>
    <w:rsid w:val="76667CCC"/>
    <w:rsid w:val="7668739C"/>
    <w:rsid w:val="76706ECF"/>
    <w:rsid w:val="767D62A9"/>
    <w:rsid w:val="7690759B"/>
    <w:rsid w:val="76914810"/>
    <w:rsid w:val="76A044CE"/>
    <w:rsid w:val="76A06605"/>
    <w:rsid w:val="76AA10FD"/>
    <w:rsid w:val="76BB1322"/>
    <w:rsid w:val="76CE1B1D"/>
    <w:rsid w:val="76D0048F"/>
    <w:rsid w:val="76D222A7"/>
    <w:rsid w:val="76D57902"/>
    <w:rsid w:val="76DB2223"/>
    <w:rsid w:val="76E625D6"/>
    <w:rsid w:val="76EE647F"/>
    <w:rsid w:val="76F97DBB"/>
    <w:rsid w:val="77081635"/>
    <w:rsid w:val="77127D5F"/>
    <w:rsid w:val="771C2CB9"/>
    <w:rsid w:val="77223989"/>
    <w:rsid w:val="772445FD"/>
    <w:rsid w:val="772A243C"/>
    <w:rsid w:val="77334555"/>
    <w:rsid w:val="773E41EC"/>
    <w:rsid w:val="775F7ED4"/>
    <w:rsid w:val="77602396"/>
    <w:rsid w:val="776216AC"/>
    <w:rsid w:val="77660E84"/>
    <w:rsid w:val="777109FF"/>
    <w:rsid w:val="7774505B"/>
    <w:rsid w:val="777520F0"/>
    <w:rsid w:val="77790B86"/>
    <w:rsid w:val="77865529"/>
    <w:rsid w:val="77A05409"/>
    <w:rsid w:val="77A116E4"/>
    <w:rsid w:val="77A14537"/>
    <w:rsid w:val="77A25E80"/>
    <w:rsid w:val="77AA0850"/>
    <w:rsid w:val="77AF7330"/>
    <w:rsid w:val="77BC3C32"/>
    <w:rsid w:val="77BC6EFE"/>
    <w:rsid w:val="77C849D9"/>
    <w:rsid w:val="77CE5F93"/>
    <w:rsid w:val="77D74233"/>
    <w:rsid w:val="77D873B8"/>
    <w:rsid w:val="77E63BD8"/>
    <w:rsid w:val="77EC5DEC"/>
    <w:rsid w:val="77F3388A"/>
    <w:rsid w:val="77F8507F"/>
    <w:rsid w:val="78024CAA"/>
    <w:rsid w:val="780E1489"/>
    <w:rsid w:val="78107604"/>
    <w:rsid w:val="78192C2A"/>
    <w:rsid w:val="782E7B78"/>
    <w:rsid w:val="785100AD"/>
    <w:rsid w:val="785D207F"/>
    <w:rsid w:val="785F3F4E"/>
    <w:rsid w:val="786666E0"/>
    <w:rsid w:val="786A1C66"/>
    <w:rsid w:val="786A5DDD"/>
    <w:rsid w:val="7873085C"/>
    <w:rsid w:val="78825341"/>
    <w:rsid w:val="7884737B"/>
    <w:rsid w:val="788530DA"/>
    <w:rsid w:val="78860546"/>
    <w:rsid w:val="788900E3"/>
    <w:rsid w:val="78907BEC"/>
    <w:rsid w:val="789869F2"/>
    <w:rsid w:val="78A1579C"/>
    <w:rsid w:val="78A43C9F"/>
    <w:rsid w:val="78A57541"/>
    <w:rsid w:val="78B26191"/>
    <w:rsid w:val="78B5277E"/>
    <w:rsid w:val="78B91E23"/>
    <w:rsid w:val="78BA7E4F"/>
    <w:rsid w:val="78D179BD"/>
    <w:rsid w:val="78EE58A7"/>
    <w:rsid w:val="78F70794"/>
    <w:rsid w:val="78FE1436"/>
    <w:rsid w:val="78FF5ADA"/>
    <w:rsid w:val="790067FB"/>
    <w:rsid w:val="790615DD"/>
    <w:rsid w:val="790B19DC"/>
    <w:rsid w:val="7910114E"/>
    <w:rsid w:val="791909DD"/>
    <w:rsid w:val="7919794D"/>
    <w:rsid w:val="79353CEE"/>
    <w:rsid w:val="793762C5"/>
    <w:rsid w:val="793B32B4"/>
    <w:rsid w:val="79475B93"/>
    <w:rsid w:val="79660D5F"/>
    <w:rsid w:val="79666829"/>
    <w:rsid w:val="796B7191"/>
    <w:rsid w:val="796F0574"/>
    <w:rsid w:val="797B664A"/>
    <w:rsid w:val="7985035C"/>
    <w:rsid w:val="798E52BC"/>
    <w:rsid w:val="799C0111"/>
    <w:rsid w:val="799D4319"/>
    <w:rsid w:val="799F189F"/>
    <w:rsid w:val="79A33C3A"/>
    <w:rsid w:val="79A43C91"/>
    <w:rsid w:val="79A95071"/>
    <w:rsid w:val="79AC38BC"/>
    <w:rsid w:val="79AC7B66"/>
    <w:rsid w:val="79C128E4"/>
    <w:rsid w:val="79C911C2"/>
    <w:rsid w:val="79CE67DB"/>
    <w:rsid w:val="79D6563F"/>
    <w:rsid w:val="79D838BA"/>
    <w:rsid w:val="79F620AD"/>
    <w:rsid w:val="79F649EE"/>
    <w:rsid w:val="79FB25B1"/>
    <w:rsid w:val="7A0C0F31"/>
    <w:rsid w:val="7A0F38B5"/>
    <w:rsid w:val="7A101D0D"/>
    <w:rsid w:val="7A120C0C"/>
    <w:rsid w:val="7A1C44DD"/>
    <w:rsid w:val="7A1C66FB"/>
    <w:rsid w:val="7A2E68F6"/>
    <w:rsid w:val="7A396E1F"/>
    <w:rsid w:val="7A4C5A3B"/>
    <w:rsid w:val="7A5339A0"/>
    <w:rsid w:val="7A5B05B6"/>
    <w:rsid w:val="7A630172"/>
    <w:rsid w:val="7A631309"/>
    <w:rsid w:val="7A921E21"/>
    <w:rsid w:val="7AA91090"/>
    <w:rsid w:val="7AD41622"/>
    <w:rsid w:val="7ADD47D1"/>
    <w:rsid w:val="7ADE3173"/>
    <w:rsid w:val="7AEB5162"/>
    <w:rsid w:val="7AED5C05"/>
    <w:rsid w:val="7AF94986"/>
    <w:rsid w:val="7AFE39BA"/>
    <w:rsid w:val="7B232943"/>
    <w:rsid w:val="7B407DF2"/>
    <w:rsid w:val="7B46015A"/>
    <w:rsid w:val="7B553B77"/>
    <w:rsid w:val="7B553CD4"/>
    <w:rsid w:val="7B577614"/>
    <w:rsid w:val="7B5B56F4"/>
    <w:rsid w:val="7B5E0DB7"/>
    <w:rsid w:val="7B5F4FA3"/>
    <w:rsid w:val="7B682767"/>
    <w:rsid w:val="7B6B63B3"/>
    <w:rsid w:val="7B6D2EE4"/>
    <w:rsid w:val="7B721623"/>
    <w:rsid w:val="7B77357A"/>
    <w:rsid w:val="7B8222D7"/>
    <w:rsid w:val="7B827C63"/>
    <w:rsid w:val="7B830CED"/>
    <w:rsid w:val="7B864D11"/>
    <w:rsid w:val="7B8C3AE5"/>
    <w:rsid w:val="7B8C69E6"/>
    <w:rsid w:val="7B8F38AD"/>
    <w:rsid w:val="7BAB12DE"/>
    <w:rsid w:val="7BC24390"/>
    <w:rsid w:val="7BC5165B"/>
    <w:rsid w:val="7BCF2869"/>
    <w:rsid w:val="7BCF6C15"/>
    <w:rsid w:val="7BD90D2F"/>
    <w:rsid w:val="7BDC50B8"/>
    <w:rsid w:val="7BE450B6"/>
    <w:rsid w:val="7BE903F1"/>
    <w:rsid w:val="7BEE588A"/>
    <w:rsid w:val="7BEF1C83"/>
    <w:rsid w:val="7BF21FE7"/>
    <w:rsid w:val="7BFF6D91"/>
    <w:rsid w:val="7C0229E6"/>
    <w:rsid w:val="7C04625C"/>
    <w:rsid w:val="7C075762"/>
    <w:rsid w:val="7C095B24"/>
    <w:rsid w:val="7C231B6A"/>
    <w:rsid w:val="7C2D166E"/>
    <w:rsid w:val="7C3004E9"/>
    <w:rsid w:val="7C352C3C"/>
    <w:rsid w:val="7C402DC0"/>
    <w:rsid w:val="7C42146D"/>
    <w:rsid w:val="7C431890"/>
    <w:rsid w:val="7C455A03"/>
    <w:rsid w:val="7C46358F"/>
    <w:rsid w:val="7C5235E8"/>
    <w:rsid w:val="7C560E66"/>
    <w:rsid w:val="7C5A69A9"/>
    <w:rsid w:val="7C76139D"/>
    <w:rsid w:val="7C86627E"/>
    <w:rsid w:val="7C902C69"/>
    <w:rsid w:val="7C943EFA"/>
    <w:rsid w:val="7C9B5E75"/>
    <w:rsid w:val="7C9E1DC2"/>
    <w:rsid w:val="7CA57EB5"/>
    <w:rsid w:val="7CB1607B"/>
    <w:rsid w:val="7CB22A7F"/>
    <w:rsid w:val="7CB6056C"/>
    <w:rsid w:val="7CB86601"/>
    <w:rsid w:val="7CC51573"/>
    <w:rsid w:val="7CCC5DCB"/>
    <w:rsid w:val="7CD5443E"/>
    <w:rsid w:val="7CD87C72"/>
    <w:rsid w:val="7CE713DA"/>
    <w:rsid w:val="7CFD4F92"/>
    <w:rsid w:val="7D165668"/>
    <w:rsid w:val="7D1E7890"/>
    <w:rsid w:val="7D272F8B"/>
    <w:rsid w:val="7D296B44"/>
    <w:rsid w:val="7D2D63C4"/>
    <w:rsid w:val="7D3527F4"/>
    <w:rsid w:val="7D3828C0"/>
    <w:rsid w:val="7D3B7807"/>
    <w:rsid w:val="7D3D61DC"/>
    <w:rsid w:val="7D470F6C"/>
    <w:rsid w:val="7D472501"/>
    <w:rsid w:val="7D4F15A2"/>
    <w:rsid w:val="7D6F4AB7"/>
    <w:rsid w:val="7D8F6E98"/>
    <w:rsid w:val="7D9B5AE7"/>
    <w:rsid w:val="7D9D7BD9"/>
    <w:rsid w:val="7D9F6383"/>
    <w:rsid w:val="7DAC3944"/>
    <w:rsid w:val="7DB75882"/>
    <w:rsid w:val="7DBB11DB"/>
    <w:rsid w:val="7DCC5093"/>
    <w:rsid w:val="7DD33820"/>
    <w:rsid w:val="7DEF2BA0"/>
    <w:rsid w:val="7DF41B1B"/>
    <w:rsid w:val="7E0361AC"/>
    <w:rsid w:val="7E0D256D"/>
    <w:rsid w:val="7E0E521A"/>
    <w:rsid w:val="7E122526"/>
    <w:rsid w:val="7E142131"/>
    <w:rsid w:val="7E157037"/>
    <w:rsid w:val="7E29173D"/>
    <w:rsid w:val="7E29625B"/>
    <w:rsid w:val="7E2A5025"/>
    <w:rsid w:val="7E2E0A24"/>
    <w:rsid w:val="7E3475ED"/>
    <w:rsid w:val="7E371CBF"/>
    <w:rsid w:val="7E3878B3"/>
    <w:rsid w:val="7E4705DD"/>
    <w:rsid w:val="7E4E20C0"/>
    <w:rsid w:val="7E51187F"/>
    <w:rsid w:val="7E5451F3"/>
    <w:rsid w:val="7E5A49F9"/>
    <w:rsid w:val="7E5D2F33"/>
    <w:rsid w:val="7E6A6238"/>
    <w:rsid w:val="7E6D681F"/>
    <w:rsid w:val="7E742FE5"/>
    <w:rsid w:val="7E9341F9"/>
    <w:rsid w:val="7E9533D1"/>
    <w:rsid w:val="7E977A27"/>
    <w:rsid w:val="7E9E133E"/>
    <w:rsid w:val="7EA42208"/>
    <w:rsid w:val="7EB2376F"/>
    <w:rsid w:val="7EB30370"/>
    <w:rsid w:val="7EC6658B"/>
    <w:rsid w:val="7ECF321E"/>
    <w:rsid w:val="7ED376FB"/>
    <w:rsid w:val="7EE61A0F"/>
    <w:rsid w:val="7EEB6599"/>
    <w:rsid w:val="7EF87786"/>
    <w:rsid w:val="7EFF06AC"/>
    <w:rsid w:val="7F001583"/>
    <w:rsid w:val="7F045366"/>
    <w:rsid w:val="7F064738"/>
    <w:rsid w:val="7F0661BC"/>
    <w:rsid w:val="7F0C4577"/>
    <w:rsid w:val="7F1461EA"/>
    <w:rsid w:val="7F1C2950"/>
    <w:rsid w:val="7F336E18"/>
    <w:rsid w:val="7F344AE7"/>
    <w:rsid w:val="7F39050D"/>
    <w:rsid w:val="7F3F11CB"/>
    <w:rsid w:val="7F484E4F"/>
    <w:rsid w:val="7F4D0362"/>
    <w:rsid w:val="7F580778"/>
    <w:rsid w:val="7F6B0CB3"/>
    <w:rsid w:val="7F6C22EA"/>
    <w:rsid w:val="7F702395"/>
    <w:rsid w:val="7F7E325D"/>
    <w:rsid w:val="7F8128FC"/>
    <w:rsid w:val="7F8F0DA3"/>
    <w:rsid w:val="7F953A44"/>
    <w:rsid w:val="7FA32206"/>
    <w:rsid w:val="7FA54BBC"/>
    <w:rsid w:val="7FA67086"/>
    <w:rsid w:val="7FBA461D"/>
    <w:rsid w:val="7FC41AD7"/>
    <w:rsid w:val="7FCD7503"/>
    <w:rsid w:val="7FD51FC5"/>
    <w:rsid w:val="7FE252A4"/>
    <w:rsid w:val="7FE30A57"/>
    <w:rsid w:val="DFFD2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qFormat="1" w:unhideWhenUsed="0" w:uiPriority="0" w:semiHidden="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24"/>
    <w:qFormat/>
    <w:uiPriority w:val="0"/>
    <w:pPr>
      <w:keepNext/>
      <w:spacing w:before="240" w:after="60"/>
      <w:outlineLvl w:val="0"/>
    </w:pPr>
    <w:rPr>
      <w:rFonts w:ascii="Cambria" w:hAnsi="Cambria"/>
      <w:b/>
      <w:bCs/>
      <w:kern w:val="32"/>
      <w:sz w:val="32"/>
      <w:szCs w:val="32"/>
    </w:rPr>
  </w:style>
  <w:style w:type="paragraph" w:styleId="4">
    <w:name w:val="heading 2"/>
    <w:basedOn w:val="1"/>
    <w:next w:val="1"/>
    <w:link w:val="51"/>
    <w:qFormat/>
    <w:uiPriority w:val="0"/>
    <w:pPr>
      <w:keepNext/>
      <w:keepLines/>
      <w:spacing w:before="260" w:after="260" w:line="413" w:lineRule="auto"/>
      <w:outlineLvl w:val="1"/>
    </w:pPr>
    <w:rPr>
      <w:rFonts w:ascii="Cambria" w:hAnsi="Cambria"/>
      <w:b/>
      <w:bCs/>
      <w:sz w:val="32"/>
      <w:szCs w:val="32"/>
    </w:rPr>
  </w:style>
  <w:style w:type="paragraph" w:styleId="5">
    <w:name w:val="heading 3"/>
    <w:basedOn w:val="1"/>
    <w:next w:val="1"/>
    <w:link w:val="52"/>
    <w:qFormat/>
    <w:uiPriority w:val="0"/>
    <w:pPr>
      <w:widowControl/>
      <w:spacing w:line="360" w:lineRule="auto"/>
      <w:outlineLvl w:val="2"/>
    </w:pPr>
    <w:rPr>
      <w:b/>
      <w:bCs/>
      <w:kern w:val="0"/>
      <w:sz w:val="24"/>
    </w:rPr>
  </w:style>
  <w:style w:type="paragraph" w:styleId="6">
    <w:name w:val="heading 4"/>
    <w:basedOn w:val="1"/>
    <w:next w:val="1"/>
    <w:link w:val="53"/>
    <w:qFormat/>
    <w:uiPriority w:val="0"/>
    <w:pPr>
      <w:keepNext/>
      <w:keepLines/>
      <w:spacing w:line="360" w:lineRule="auto"/>
      <w:outlineLvl w:val="3"/>
    </w:pPr>
    <w:rPr>
      <w:rFonts w:ascii="Arial" w:hAnsi="Arial"/>
      <w:b/>
      <w:bCs/>
      <w:szCs w:val="28"/>
    </w:rPr>
  </w:style>
  <w:style w:type="paragraph" w:styleId="7">
    <w:name w:val="heading 5"/>
    <w:basedOn w:val="1"/>
    <w:next w:val="1"/>
    <w:link w:val="54"/>
    <w:qFormat/>
    <w:uiPriority w:val="0"/>
    <w:pPr>
      <w:keepNext/>
      <w:keepLines/>
      <w:spacing w:before="280" w:after="290" w:line="372" w:lineRule="auto"/>
      <w:outlineLvl w:val="4"/>
    </w:pPr>
    <w:rPr>
      <w:b/>
      <w:bCs/>
      <w:sz w:val="28"/>
      <w:szCs w:val="28"/>
    </w:rPr>
  </w:style>
  <w:style w:type="paragraph" w:styleId="8">
    <w:name w:val="heading 6"/>
    <w:basedOn w:val="1"/>
    <w:next w:val="1"/>
    <w:link w:val="55"/>
    <w:qFormat/>
    <w:uiPriority w:val="0"/>
    <w:pPr>
      <w:keepNext/>
      <w:keepLines/>
      <w:widowControl/>
      <w:tabs>
        <w:tab w:val="left" w:pos="1440"/>
      </w:tabs>
      <w:spacing w:before="240" w:after="64" w:line="317" w:lineRule="auto"/>
      <w:ind w:left="1152" w:hanging="1152"/>
      <w:jc w:val="left"/>
      <w:outlineLvl w:val="5"/>
    </w:pPr>
    <w:rPr>
      <w:rFonts w:ascii="Arial" w:hAnsi="Arial" w:eastAsia="黑体"/>
      <w:b/>
      <w:bCs/>
      <w:kern w:val="0"/>
      <w:sz w:val="24"/>
    </w:rPr>
  </w:style>
  <w:style w:type="paragraph" w:styleId="9">
    <w:name w:val="heading 7"/>
    <w:basedOn w:val="1"/>
    <w:next w:val="1"/>
    <w:link w:val="56"/>
    <w:qFormat/>
    <w:uiPriority w:val="0"/>
    <w:pPr>
      <w:keepNext/>
      <w:keepLines/>
      <w:widowControl/>
      <w:tabs>
        <w:tab w:val="left" w:pos="2520"/>
      </w:tabs>
      <w:spacing w:before="240" w:after="64" w:line="317" w:lineRule="auto"/>
      <w:ind w:left="1296" w:hanging="1296"/>
      <w:jc w:val="left"/>
      <w:outlineLvl w:val="6"/>
    </w:pPr>
    <w:rPr>
      <w:b/>
      <w:bCs/>
      <w:kern w:val="0"/>
      <w:sz w:val="24"/>
    </w:rPr>
  </w:style>
  <w:style w:type="paragraph" w:styleId="10">
    <w:name w:val="heading 8"/>
    <w:basedOn w:val="1"/>
    <w:next w:val="1"/>
    <w:link w:val="57"/>
    <w:qFormat/>
    <w:uiPriority w:val="0"/>
    <w:pPr>
      <w:keepNext/>
      <w:keepLines/>
      <w:widowControl/>
      <w:tabs>
        <w:tab w:val="left" w:pos="1440"/>
      </w:tabs>
      <w:spacing w:before="240" w:after="64" w:line="317" w:lineRule="auto"/>
      <w:ind w:left="1440" w:hanging="1440"/>
      <w:jc w:val="left"/>
      <w:outlineLvl w:val="7"/>
    </w:pPr>
    <w:rPr>
      <w:rFonts w:ascii="Arial" w:hAnsi="Arial" w:eastAsia="黑体"/>
      <w:kern w:val="0"/>
      <w:sz w:val="24"/>
    </w:rPr>
  </w:style>
  <w:style w:type="paragraph" w:styleId="11">
    <w:name w:val="heading 9"/>
    <w:basedOn w:val="1"/>
    <w:next w:val="1"/>
    <w:link w:val="58"/>
    <w:qFormat/>
    <w:uiPriority w:val="0"/>
    <w:pPr>
      <w:keepNext/>
      <w:keepLines/>
      <w:widowControl/>
      <w:tabs>
        <w:tab w:val="left" w:pos="1584"/>
      </w:tabs>
      <w:spacing w:before="240" w:after="64" w:line="317" w:lineRule="auto"/>
      <w:ind w:left="1584" w:hanging="1584"/>
      <w:jc w:val="left"/>
      <w:outlineLvl w:val="8"/>
    </w:pPr>
    <w:rPr>
      <w:rFonts w:ascii="Arial" w:hAnsi="Arial" w:eastAsia="黑体"/>
      <w:kern w:val="0"/>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列出段落1"/>
    <w:basedOn w:val="1"/>
    <w:next w:val="1"/>
    <w:qFormat/>
    <w:uiPriority w:val="99"/>
    <w:pPr>
      <w:ind w:firstLine="420" w:firstLineChars="200"/>
    </w:pPr>
  </w:style>
  <w:style w:type="paragraph" w:styleId="12">
    <w:name w:val="toc 7"/>
    <w:basedOn w:val="1"/>
    <w:next w:val="1"/>
    <w:qFormat/>
    <w:uiPriority w:val="39"/>
    <w:pPr>
      <w:ind w:left="2520" w:leftChars="1200"/>
    </w:pPr>
    <w:rPr>
      <w:rFonts w:ascii="Calibri" w:hAnsi="Calibri"/>
      <w:szCs w:val="22"/>
    </w:rPr>
  </w:style>
  <w:style w:type="paragraph" w:styleId="13">
    <w:name w:val="Normal Indent"/>
    <w:basedOn w:val="1"/>
    <w:qFormat/>
    <w:uiPriority w:val="0"/>
    <w:pPr>
      <w:ind w:firstLine="420" w:firstLineChars="200"/>
    </w:pPr>
  </w:style>
  <w:style w:type="paragraph" w:styleId="14">
    <w:name w:val="caption"/>
    <w:basedOn w:val="1"/>
    <w:next w:val="1"/>
    <w:qFormat/>
    <w:uiPriority w:val="0"/>
    <w:rPr>
      <w:rFonts w:ascii="Cambria" w:hAnsi="Cambria" w:eastAsia="黑体"/>
      <w:sz w:val="20"/>
      <w:szCs w:val="20"/>
    </w:rPr>
  </w:style>
  <w:style w:type="paragraph" w:styleId="15">
    <w:name w:val="Document Map"/>
    <w:basedOn w:val="1"/>
    <w:link w:val="59"/>
    <w:qFormat/>
    <w:uiPriority w:val="0"/>
    <w:pPr>
      <w:shd w:val="clear" w:color="auto" w:fill="000080"/>
    </w:pPr>
  </w:style>
  <w:style w:type="paragraph" w:styleId="16">
    <w:name w:val="annotation text"/>
    <w:basedOn w:val="1"/>
    <w:link w:val="60"/>
    <w:qFormat/>
    <w:uiPriority w:val="0"/>
    <w:pPr>
      <w:jc w:val="left"/>
    </w:pPr>
  </w:style>
  <w:style w:type="paragraph" w:styleId="17">
    <w:name w:val="Body Text"/>
    <w:basedOn w:val="1"/>
    <w:next w:val="1"/>
    <w:link w:val="61"/>
    <w:qFormat/>
    <w:uiPriority w:val="0"/>
    <w:pPr>
      <w:spacing w:after="120"/>
    </w:pPr>
  </w:style>
  <w:style w:type="paragraph" w:styleId="18">
    <w:name w:val="Body Text Indent"/>
    <w:basedOn w:val="1"/>
    <w:link w:val="62"/>
    <w:qFormat/>
    <w:uiPriority w:val="0"/>
    <w:pPr>
      <w:spacing w:after="120"/>
      <w:ind w:left="420" w:leftChars="200"/>
    </w:pPr>
  </w:style>
  <w:style w:type="paragraph" w:styleId="19">
    <w:name w:val="index 4"/>
    <w:basedOn w:val="1"/>
    <w:next w:val="1"/>
    <w:qFormat/>
    <w:uiPriority w:val="0"/>
    <w:pPr>
      <w:ind w:left="600" w:leftChars="600"/>
    </w:pPr>
  </w:style>
  <w:style w:type="paragraph" w:styleId="20">
    <w:name w:val="toc 5"/>
    <w:basedOn w:val="1"/>
    <w:next w:val="1"/>
    <w:qFormat/>
    <w:uiPriority w:val="39"/>
    <w:pPr>
      <w:ind w:left="1680" w:leftChars="800"/>
    </w:pPr>
    <w:rPr>
      <w:rFonts w:ascii="Calibri" w:hAnsi="Calibri"/>
      <w:szCs w:val="22"/>
    </w:rPr>
  </w:style>
  <w:style w:type="paragraph" w:styleId="21">
    <w:name w:val="toc 3"/>
    <w:basedOn w:val="1"/>
    <w:next w:val="1"/>
    <w:qFormat/>
    <w:uiPriority w:val="39"/>
    <w:pPr>
      <w:ind w:left="840" w:leftChars="400"/>
    </w:pPr>
  </w:style>
  <w:style w:type="paragraph" w:styleId="22">
    <w:name w:val="Plain Text"/>
    <w:basedOn w:val="1"/>
    <w:link w:val="63"/>
    <w:qFormat/>
    <w:uiPriority w:val="0"/>
    <w:rPr>
      <w:rFonts w:ascii="宋体" w:hAnsi="Courier New" w:eastAsia="仿宋_GB2312"/>
      <w:sz w:val="32"/>
    </w:rPr>
  </w:style>
  <w:style w:type="paragraph" w:styleId="23">
    <w:name w:val="toc 8"/>
    <w:basedOn w:val="1"/>
    <w:next w:val="1"/>
    <w:qFormat/>
    <w:uiPriority w:val="39"/>
    <w:pPr>
      <w:ind w:left="2940" w:leftChars="1400"/>
    </w:pPr>
    <w:rPr>
      <w:rFonts w:ascii="Calibri" w:hAnsi="Calibri"/>
      <w:szCs w:val="22"/>
    </w:rPr>
  </w:style>
  <w:style w:type="paragraph" w:styleId="24">
    <w:name w:val="Date"/>
    <w:basedOn w:val="1"/>
    <w:next w:val="1"/>
    <w:link w:val="64"/>
    <w:qFormat/>
    <w:uiPriority w:val="0"/>
    <w:pPr>
      <w:ind w:left="100" w:leftChars="2500"/>
    </w:pPr>
  </w:style>
  <w:style w:type="paragraph" w:styleId="25">
    <w:name w:val="Body Text Indent 2"/>
    <w:basedOn w:val="1"/>
    <w:link w:val="65"/>
    <w:qFormat/>
    <w:uiPriority w:val="0"/>
    <w:pPr>
      <w:autoSpaceDE w:val="0"/>
      <w:autoSpaceDN w:val="0"/>
      <w:adjustRightInd w:val="0"/>
      <w:spacing w:line="410" w:lineRule="atLeast"/>
      <w:ind w:left="480"/>
      <w:jc w:val="left"/>
    </w:pPr>
    <w:rPr>
      <w:rFonts w:ascii="宋体" w:hAnsi="Calibri"/>
      <w:color w:val="000000"/>
    </w:rPr>
  </w:style>
  <w:style w:type="paragraph" w:styleId="26">
    <w:name w:val="Balloon Text"/>
    <w:basedOn w:val="1"/>
    <w:link w:val="66"/>
    <w:qFormat/>
    <w:uiPriority w:val="0"/>
    <w:rPr>
      <w:sz w:val="18"/>
      <w:szCs w:val="18"/>
    </w:rPr>
  </w:style>
  <w:style w:type="paragraph" w:styleId="27">
    <w:name w:val="footer"/>
    <w:basedOn w:val="1"/>
    <w:link w:val="67"/>
    <w:qFormat/>
    <w:uiPriority w:val="99"/>
    <w:pPr>
      <w:tabs>
        <w:tab w:val="center" w:pos="4153"/>
        <w:tab w:val="right" w:pos="8306"/>
      </w:tabs>
      <w:snapToGrid w:val="0"/>
      <w:jc w:val="left"/>
    </w:pPr>
    <w:rPr>
      <w:sz w:val="18"/>
      <w:szCs w:val="18"/>
    </w:rPr>
  </w:style>
  <w:style w:type="paragraph" w:styleId="28">
    <w:name w:val="header"/>
    <w:basedOn w:val="1"/>
    <w:link w:val="68"/>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39"/>
  </w:style>
  <w:style w:type="paragraph" w:styleId="30">
    <w:name w:val="toc 4"/>
    <w:basedOn w:val="1"/>
    <w:next w:val="1"/>
    <w:qFormat/>
    <w:uiPriority w:val="39"/>
    <w:pPr>
      <w:ind w:left="1260" w:leftChars="600"/>
    </w:pPr>
  </w:style>
  <w:style w:type="paragraph" w:styleId="31">
    <w:name w:val="Subtitle"/>
    <w:basedOn w:val="1"/>
    <w:next w:val="1"/>
    <w:link w:val="69"/>
    <w:qFormat/>
    <w:uiPriority w:val="0"/>
    <w:pPr>
      <w:spacing w:before="240" w:after="60" w:line="312" w:lineRule="auto"/>
      <w:jc w:val="center"/>
      <w:outlineLvl w:val="1"/>
    </w:pPr>
    <w:rPr>
      <w:rFonts w:ascii="Cambria" w:hAnsi="Cambria"/>
      <w:b/>
      <w:bCs/>
      <w:kern w:val="28"/>
      <w:sz w:val="32"/>
      <w:szCs w:val="32"/>
    </w:rPr>
  </w:style>
  <w:style w:type="paragraph" w:styleId="32">
    <w:name w:val="toc 6"/>
    <w:basedOn w:val="1"/>
    <w:next w:val="1"/>
    <w:qFormat/>
    <w:uiPriority w:val="39"/>
    <w:pPr>
      <w:ind w:left="2100" w:leftChars="1000"/>
    </w:pPr>
    <w:rPr>
      <w:rFonts w:ascii="Calibri" w:hAnsi="Calibri"/>
      <w:szCs w:val="22"/>
    </w:rPr>
  </w:style>
  <w:style w:type="paragraph" w:styleId="33">
    <w:name w:val="Body Text Indent 3"/>
    <w:basedOn w:val="1"/>
    <w:link w:val="70"/>
    <w:qFormat/>
    <w:uiPriority w:val="0"/>
    <w:pPr>
      <w:widowControl/>
      <w:overflowPunct w:val="0"/>
      <w:autoSpaceDE w:val="0"/>
      <w:autoSpaceDN w:val="0"/>
      <w:adjustRightInd w:val="0"/>
      <w:spacing w:line="360" w:lineRule="auto"/>
      <w:ind w:firstLine="540"/>
      <w:textAlignment w:val="baseline"/>
    </w:pPr>
    <w:rPr>
      <w:rFonts w:ascii="宋体" w:hAnsi="MS Sans Serif"/>
      <w:color w:val="000000"/>
      <w:kern w:val="0"/>
      <w:sz w:val="24"/>
      <w:szCs w:val="20"/>
    </w:rPr>
  </w:style>
  <w:style w:type="paragraph" w:styleId="34">
    <w:name w:val="toc 2"/>
    <w:basedOn w:val="1"/>
    <w:next w:val="1"/>
    <w:qFormat/>
    <w:uiPriority w:val="39"/>
    <w:pPr>
      <w:ind w:left="420" w:leftChars="200"/>
    </w:pPr>
  </w:style>
  <w:style w:type="paragraph" w:styleId="35">
    <w:name w:val="toc 9"/>
    <w:basedOn w:val="1"/>
    <w:next w:val="1"/>
    <w:qFormat/>
    <w:uiPriority w:val="39"/>
    <w:pPr>
      <w:ind w:left="3360" w:leftChars="1600"/>
    </w:pPr>
    <w:rPr>
      <w:rFonts w:ascii="Calibri" w:hAnsi="Calibri"/>
      <w:szCs w:val="22"/>
    </w:rPr>
  </w:style>
  <w:style w:type="paragraph" w:styleId="36">
    <w:name w:val="Normal (Web)"/>
    <w:basedOn w:val="1"/>
    <w:qFormat/>
    <w:uiPriority w:val="99"/>
    <w:pPr>
      <w:widowControl/>
      <w:spacing w:before="100" w:beforeAutospacing="1" w:after="100" w:afterAutospacing="1"/>
      <w:jc w:val="left"/>
    </w:pPr>
    <w:rPr>
      <w:kern w:val="0"/>
    </w:rPr>
  </w:style>
  <w:style w:type="paragraph" w:styleId="37">
    <w:name w:val="Title"/>
    <w:basedOn w:val="1"/>
    <w:next w:val="1"/>
    <w:link w:val="71"/>
    <w:qFormat/>
    <w:uiPriority w:val="0"/>
    <w:pPr>
      <w:spacing w:before="240" w:after="60"/>
      <w:jc w:val="center"/>
      <w:outlineLvl w:val="0"/>
    </w:pPr>
    <w:rPr>
      <w:rFonts w:ascii="Cambria" w:hAnsi="Cambria"/>
      <w:b/>
      <w:sz w:val="32"/>
    </w:rPr>
  </w:style>
  <w:style w:type="paragraph" w:styleId="38">
    <w:name w:val="annotation subject"/>
    <w:basedOn w:val="16"/>
    <w:next w:val="16"/>
    <w:link w:val="72"/>
    <w:qFormat/>
    <w:uiPriority w:val="0"/>
    <w:rPr>
      <w:b/>
      <w:bCs/>
    </w:rPr>
  </w:style>
  <w:style w:type="paragraph" w:styleId="39">
    <w:name w:val="Body Text First Indent"/>
    <w:basedOn w:val="17"/>
    <w:unhideWhenUsed/>
    <w:qFormat/>
    <w:uiPriority w:val="0"/>
    <w:pPr>
      <w:ind w:firstLine="420" w:firstLineChars="100"/>
    </w:pPr>
    <w:rPr>
      <w:sz w:val="30"/>
    </w:rPr>
  </w:style>
  <w:style w:type="table" w:styleId="41">
    <w:name w:val="Table Grid"/>
    <w:basedOn w:val="4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3">
    <w:name w:val="Strong"/>
    <w:qFormat/>
    <w:uiPriority w:val="0"/>
    <w:rPr>
      <w:b/>
    </w:rPr>
  </w:style>
  <w:style w:type="character" w:styleId="44">
    <w:name w:val="page number"/>
    <w:qFormat/>
    <w:uiPriority w:val="0"/>
  </w:style>
  <w:style w:type="character" w:styleId="45">
    <w:name w:val="FollowedHyperlink"/>
    <w:qFormat/>
    <w:uiPriority w:val="0"/>
    <w:rPr>
      <w:color w:val="800080"/>
      <w:u w:val="single"/>
    </w:rPr>
  </w:style>
  <w:style w:type="character" w:styleId="46">
    <w:name w:val="Emphasis"/>
    <w:qFormat/>
    <w:uiPriority w:val="0"/>
    <w:rPr>
      <w:i/>
      <w:iCs/>
    </w:rPr>
  </w:style>
  <w:style w:type="character" w:styleId="47">
    <w:name w:val="Hyperlink"/>
    <w:qFormat/>
    <w:uiPriority w:val="99"/>
    <w:rPr>
      <w:color w:val="0000FF"/>
      <w:u w:val="single"/>
    </w:rPr>
  </w:style>
  <w:style w:type="character" w:styleId="48">
    <w:name w:val="HTML Code"/>
    <w:qFormat/>
    <w:uiPriority w:val="0"/>
    <w:rPr>
      <w:rFonts w:ascii="Courier New" w:hAnsi="Courier New"/>
      <w:sz w:val="20"/>
    </w:rPr>
  </w:style>
  <w:style w:type="character" w:styleId="49">
    <w:name w:val="annotation reference"/>
    <w:qFormat/>
    <w:uiPriority w:val="0"/>
    <w:rPr>
      <w:sz w:val="21"/>
      <w:szCs w:val="21"/>
    </w:rPr>
  </w:style>
  <w:style w:type="character" w:customStyle="1" w:styleId="50">
    <w:name w:val="标题 1 字符"/>
    <w:qFormat/>
    <w:uiPriority w:val="0"/>
    <w:rPr>
      <w:rFonts w:ascii="Cambria" w:hAnsi="Cambria"/>
      <w:b/>
      <w:bCs/>
      <w:kern w:val="32"/>
      <w:sz w:val="32"/>
      <w:szCs w:val="32"/>
    </w:rPr>
  </w:style>
  <w:style w:type="character" w:customStyle="1" w:styleId="51">
    <w:name w:val="标题 2 Char"/>
    <w:link w:val="4"/>
    <w:qFormat/>
    <w:uiPriority w:val="0"/>
    <w:rPr>
      <w:rFonts w:ascii="Cambria" w:hAnsi="Cambria" w:eastAsia="宋体" w:cs="Times New Roman"/>
      <w:b/>
      <w:bCs/>
      <w:kern w:val="2"/>
      <w:sz w:val="32"/>
      <w:szCs w:val="32"/>
    </w:rPr>
  </w:style>
  <w:style w:type="character" w:customStyle="1" w:styleId="52">
    <w:name w:val="标题 3 Char"/>
    <w:link w:val="5"/>
    <w:qFormat/>
    <w:uiPriority w:val="0"/>
    <w:rPr>
      <w:b/>
      <w:bCs/>
      <w:sz w:val="24"/>
      <w:szCs w:val="24"/>
    </w:rPr>
  </w:style>
  <w:style w:type="character" w:customStyle="1" w:styleId="53">
    <w:name w:val="标题 4 Char"/>
    <w:link w:val="6"/>
    <w:qFormat/>
    <w:uiPriority w:val="0"/>
    <w:rPr>
      <w:rFonts w:ascii="Arial" w:hAnsi="Arial"/>
      <w:b/>
      <w:bCs/>
      <w:kern w:val="2"/>
      <w:sz w:val="21"/>
      <w:szCs w:val="28"/>
    </w:rPr>
  </w:style>
  <w:style w:type="character" w:customStyle="1" w:styleId="54">
    <w:name w:val="标题 5 Char"/>
    <w:link w:val="7"/>
    <w:qFormat/>
    <w:uiPriority w:val="0"/>
    <w:rPr>
      <w:b/>
      <w:bCs/>
      <w:kern w:val="2"/>
      <w:sz w:val="28"/>
      <w:szCs w:val="28"/>
    </w:rPr>
  </w:style>
  <w:style w:type="character" w:customStyle="1" w:styleId="55">
    <w:name w:val="标题 6 Char"/>
    <w:link w:val="8"/>
    <w:qFormat/>
    <w:uiPriority w:val="0"/>
    <w:rPr>
      <w:rFonts w:ascii="Arial" w:hAnsi="Arial" w:eastAsia="黑体"/>
      <w:b/>
      <w:bCs/>
      <w:sz w:val="24"/>
      <w:szCs w:val="24"/>
    </w:rPr>
  </w:style>
  <w:style w:type="character" w:customStyle="1" w:styleId="56">
    <w:name w:val="标题 7 Char"/>
    <w:link w:val="9"/>
    <w:qFormat/>
    <w:uiPriority w:val="0"/>
    <w:rPr>
      <w:b/>
      <w:bCs/>
      <w:sz w:val="24"/>
      <w:szCs w:val="24"/>
    </w:rPr>
  </w:style>
  <w:style w:type="character" w:customStyle="1" w:styleId="57">
    <w:name w:val="标题 8 Char"/>
    <w:link w:val="10"/>
    <w:qFormat/>
    <w:uiPriority w:val="0"/>
    <w:rPr>
      <w:rFonts w:ascii="Arial" w:hAnsi="Arial" w:eastAsia="黑体"/>
      <w:sz w:val="24"/>
      <w:szCs w:val="24"/>
    </w:rPr>
  </w:style>
  <w:style w:type="character" w:customStyle="1" w:styleId="58">
    <w:name w:val="标题 9 Char"/>
    <w:link w:val="11"/>
    <w:qFormat/>
    <w:uiPriority w:val="0"/>
    <w:rPr>
      <w:rFonts w:ascii="Arial" w:hAnsi="Arial" w:eastAsia="黑体"/>
      <w:sz w:val="21"/>
      <w:szCs w:val="21"/>
    </w:rPr>
  </w:style>
  <w:style w:type="character" w:customStyle="1" w:styleId="59">
    <w:name w:val="文档结构图 Char"/>
    <w:link w:val="15"/>
    <w:qFormat/>
    <w:uiPriority w:val="0"/>
    <w:rPr>
      <w:kern w:val="2"/>
      <w:sz w:val="21"/>
      <w:szCs w:val="24"/>
      <w:shd w:val="clear" w:color="auto" w:fill="000080"/>
    </w:rPr>
  </w:style>
  <w:style w:type="character" w:customStyle="1" w:styleId="60">
    <w:name w:val="批注文字 Char"/>
    <w:link w:val="16"/>
    <w:qFormat/>
    <w:uiPriority w:val="0"/>
    <w:rPr>
      <w:kern w:val="2"/>
      <w:sz w:val="21"/>
      <w:szCs w:val="24"/>
    </w:rPr>
  </w:style>
  <w:style w:type="character" w:customStyle="1" w:styleId="61">
    <w:name w:val="正文文本 Char"/>
    <w:link w:val="17"/>
    <w:qFormat/>
    <w:uiPriority w:val="0"/>
    <w:rPr>
      <w:kern w:val="2"/>
      <w:sz w:val="21"/>
      <w:szCs w:val="24"/>
    </w:rPr>
  </w:style>
  <w:style w:type="character" w:customStyle="1" w:styleId="62">
    <w:name w:val="正文文本缩进 Char"/>
    <w:link w:val="18"/>
    <w:qFormat/>
    <w:uiPriority w:val="0"/>
    <w:rPr>
      <w:kern w:val="2"/>
      <w:sz w:val="21"/>
      <w:szCs w:val="24"/>
    </w:rPr>
  </w:style>
  <w:style w:type="character" w:customStyle="1" w:styleId="63">
    <w:name w:val="纯文本 Char"/>
    <w:link w:val="22"/>
    <w:qFormat/>
    <w:uiPriority w:val="0"/>
    <w:rPr>
      <w:rFonts w:ascii="宋体" w:hAnsi="Courier New" w:eastAsia="仿宋_GB2312"/>
      <w:kern w:val="2"/>
      <w:sz w:val="32"/>
      <w:szCs w:val="24"/>
    </w:rPr>
  </w:style>
  <w:style w:type="character" w:customStyle="1" w:styleId="64">
    <w:name w:val="日期 Char"/>
    <w:link w:val="24"/>
    <w:qFormat/>
    <w:uiPriority w:val="0"/>
    <w:rPr>
      <w:kern w:val="2"/>
      <w:sz w:val="21"/>
      <w:szCs w:val="24"/>
    </w:rPr>
  </w:style>
  <w:style w:type="character" w:customStyle="1" w:styleId="65">
    <w:name w:val="正文文本缩进 2 Char"/>
    <w:link w:val="25"/>
    <w:qFormat/>
    <w:uiPriority w:val="0"/>
    <w:rPr>
      <w:rFonts w:ascii="宋体" w:hAnsi="Calibri"/>
      <w:color w:val="000000"/>
      <w:kern w:val="2"/>
      <w:sz w:val="21"/>
      <w:szCs w:val="24"/>
    </w:rPr>
  </w:style>
  <w:style w:type="character" w:customStyle="1" w:styleId="66">
    <w:name w:val="批注框文本 Char"/>
    <w:link w:val="26"/>
    <w:qFormat/>
    <w:uiPriority w:val="0"/>
    <w:rPr>
      <w:kern w:val="2"/>
      <w:sz w:val="18"/>
      <w:szCs w:val="18"/>
    </w:rPr>
  </w:style>
  <w:style w:type="character" w:customStyle="1" w:styleId="67">
    <w:name w:val="页脚 Char"/>
    <w:link w:val="27"/>
    <w:qFormat/>
    <w:uiPriority w:val="99"/>
    <w:rPr>
      <w:kern w:val="2"/>
      <w:sz w:val="18"/>
      <w:szCs w:val="18"/>
    </w:rPr>
  </w:style>
  <w:style w:type="character" w:customStyle="1" w:styleId="68">
    <w:name w:val="页眉 Char"/>
    <w:link w:val="28"/>
    <w:qFormat/>
    <w:uiPriority w:val="0"/>
    <w:rPr>
      <w:kern w:val="2"/>
      <w:sz w:val="18"/>
      <w:szCs w:val="18"/>
    </w:rPr>
  </w:style>
  <w:style w:type="character" w:customStyle="1" w:styleId="69">
    <w:name w:val="副标题 Char"/>
    <w:link w:val="31"/>
    <w:qFormat/>
    <w:uiPriority w:val="0"/>
    <w:rPr>
      <w:rFonts w:ascii="Cambria" w:hAnsi="Cambria"/>
      <w:b/>
      <w:bCs/>
      <w:kern w:val="28"/>
      <w:sz w:val="32"/>
      <w:szCs w:val="32"/>
    </w:rPr>
  </w:style>
  <w:style w:type="character" w:customStyle="1" w:styleId="70">
    <w:name w:val="正文文本缩进 3 Char"/>
    <w:link w:val="33"/>
    <w:qFormat/>
    <w:uiPriority w:val="0"/>
    <w:rPr>
      <w:rFonts w:ascii="宋体" w:hAnsi="MS Sans Serif"/>
      <w:color w:val="000000"/>
      <w:sz w:val="24"/>
    </w:rPr>
  </w:style>
  <w:style w:type="character" w:customStyle="1" w:styleId="71">
    <w:name w:val="标题 Char"/>
    <w:link w:val="37"/>
    <w:qFormat/>
    <w:uiPriority w:val="0"/>
    <w:rPr>
      <w:rFonts w:ascii="Cambria" w:hAnsi="Cambria"/>
      <w:b/>
      <w:kern w:val="2"/>
      <w:sz w:val="32"/>
      <w:szCs w:val="24"/>
    </w:rPr>
  </w:style>
  <w:style w:type="character" w:customStyle="1" w:styleId="72">
    <w:name w:val="批注主题 Char"/>
    <w:link w:val="38"/>
    <w:qFormat/>
    <w:uiPriority w:val="0"/>
    <w:rPr>
      <w:b/>
      <w:bCs/>
      <w:kern w:val="2"/>
      <w:sz w:val="21"/>
      <w:szCs w:val="24"/>
    </w:rPr>
  </w:style>
  <w:style w:type="character" w:customStyle="1" w:styleId="73">
    <w:name w:val="页眉 Char1"/>
    <w:semiHidden/>
    <w:qFormat/>
    <w:uiPriority w:val="99"/>
    <w:rPr>
      <w:rFonts w:ascii="Times New Roman" w:hAnsi="Times New Roman" w:eastAsia="宋体" w:cs="Times New Roman"/>
      <w:sz w:val="18"/>
      <w:szCs w:val="18"/>
    </w:rPr>
  </w:style>
  <w:style w:type="character" w:customStyle="1" w:styleId="74">
    <w:name w:val="p0 Char"/>
    <w:link w:val="75"/>
    <w:qFormat/>
    <w:uiPriority w:val="0"/>
    <w:rPr>
      <w:rFonts w:eastAsia="宋体"/>
      <w:kern w:val="2"/>
      <w:sz w:val="21"/>
      <w:szCs w:val="21"/>
      <w:lang w:val="en-US" w:eastAsia="zh-CN" w:bidi="ar-SA"/>
    </w:rPr>
  </w:style>
  <w:style w:type="paragraph" w:customStyle="1" w:styleId="75">
    <w:name w:val="p0"/>
    <w:basedOn w:val="1"/>
    <w:link w:val="74"/>
    <w:qFormat/>
    <w:uiPriority w:val="0"/>
    <w:pPr>
      <w:widowControl/>
    </w:pPr>
    <w:rPr>
      <w:szCs w:val="21"/>
    </w:rPr>
  </w:style>
  <w:style w:type="character" w:customStyle="1" w:styleId="76">
    <w:name w:val="标题 4 Char Char"/>
    <w:qFormat/>
    <w:uiPriority w:val="0"/>
    <w:rPr>
      <w:rFonts w:ascii="Arial" w:hAnsi="Arial" w:eastAsia="宋体"/>
      <w:b/>
      <w:bCs/>
      <w:kern w:val="2"/>
      <w:sz w:val="21"/>
      <w:szCs w:val="28"/>
      <w:lang w:val="en-US" w:eastAsia="zh-CN" w:bidi="ar-SA"/>
    </w:rPr>
  </w:style>
  <w:style w:type="character" w:customStyle="1" w:styleId="77">
    <w:name w:val="批注框文本 Char1"/>
    <w:qFormat/>
    <w:uiPriority w:val="0"/>
    <w:rPr>
      <w:rFonts w:ascii="Times New Roman" w:hAnsi="Times New Roman" w:eastAsia="宋体" w:cs="Times New Roman"/>
      <w:sz w:val="18"/>
      <w:szCs w:val="18"/>
    </w:rPr>
  </w:style>
  <w:style w:type="character" w:customStyle="1" w:styleId="78">
    <w:name w:val="纯文本 Char Char"/>
    <w:qFormat/>
    <w:uiPriority w:val="0"/>
    <w:rPr>
      <w:rFonts w:ascii="宋体" w:hAnsi="Courier New" w:eastAsia="仿宋_GB2312"/>
      <w:kern w:val="2"/>
      <w:sz w:val="32"/>
      <w:szCs w:val="24"/>
      <w:lang w:bidi="ar-SA"/>
    </w:rPr>
  </w:style>
  <w:style w:type="character" w:customStyle="1" w:styleId="79">
    <w:name w:val="标题 3 Char1"/>
    <w:qFormat/>
    <w:uiPriority w:val="0"/>
    <w:rPr>
      <w:b/>
      <w:bCs/>
      <w:sz w:val="24"/>
      <w:szCs w:val="24"/>
    </w:rPr>
  </w:style>
  <w:style w:type="character" w:customStyle="1" w:styleId="80">
    <w:name w:val="Font Style119"/>
    <w:unhideWhenUsed/>
    <w:qFormat/>
    <w:uiPriority w:val="99"/>
    <w:rPr>
      <w:rFonts w:hint="eastAsia" w:ascii="宋体" w:hAnsi="宋体" w:eastAsia="宋体"/>
      <w:sz w:val="24"/>
    </w:rPr>
  </w:style>
  <w:style w:type="character" w:customStyle="1" w:styleId="81">
    <w:name w:val="Font Style131"/>
    <w:unhideWhenUsed/>
    <w:qFormat/>
    <w:uiPriority w:val="99"/>
    <w:rPr>
      <w:rFonts w:hint="eastAsia" w:ascii="Times New Roman" w:hAnsi="Times New Roman" w:eastAsia="Times New Roman"/>
      <w:sz w:val="18"/>
    </w:rPr>
  </w:style>
  <w:style w:type="character" w:customStyle="1" w:styleId="82">
    <w:name w:val="textcontents"/>
    <w:qFormat/>
    <w:uiPriority w:val="0"/>
    <w:rPr>
      <w:rFonts w:cs="Times New Roman"/>
    </w:rPr>
  </w:style>
  <w:style w:type="character" w:customStyle="1" w:styleId="83">
    <w:name w:val="明显引用 Char1"/>
    <w:qFormat/>
    <w:uiPriority w:val="99"/>
    <w:rPr>
      <w:b/>
      <w:bCs/>
      <w:i/>
      <w:iCs/>
      <w:color w:val="4F81BD"/>
      <w:kern w:val="2"/>
      <w:sz w:val="21"/>
      <w:szCs w:val="24"/>
    </w:rPr>
  </w:style>
  <w:style w:type="character" w:customStyle="1" w:styleId="84">
    <w:name w:val="Font Style86"/>
    <w:unhideWhenUsed/>
    <w:qFormat/>
    <w:uiPriority w:val="99"/>
    <w:rPr>
      <w:rFonts w:hint="eastAsia" w:ascii="黑体" w:hAnsi="黑体" w:eastAsia="黑体"/>
      <w:spacing w:val="10"/>
      <w:sz w:val="30"/>
    </w:rPr>
  </w:style>
  <w:style w:type="character" w:customStyle="1" w:styleId="85">
    <w:name w:val="Font Style122"/>
    <w:unhideWhenUsed/>
    <w:qFormat/>
    <w:uiPriority w:val="99"/>
    <w:rPr>
      <w:rFonts w:hint="eastAsia" w:ascii="宋体" w:hAnsi="宋体" w:eastAsia="宋体"/>
      <w:spacing w:val="20"/>
      <w:sz w:val="24"/>
    </w:rPr>
  </w:style>
  <w:style w:type="character" w:customStyle="1" w:styleId="86">
    <w:name w:val="p0 Char Char"/>
    <w:qFormat/>
    <w:uiPriority w:val="0"/>
    <w:rPr>
      <w:rFonts w:eastAsia="宋体"/>
      <w:kern w:val="2"/>
      <w:sz w:val="21"/>
      <w:szCs w:val="21"/>
      <w:lang w:val="en-US" w:eastAsia="zh-CN" w:bidi="ar-SA"/>
    </w:rPr>
  </w:style>
  <w:style w:type="character" w:customStyle="1" w:styleId="87">
    <w:name w:val="Char Char141"/>
    <w:qFormat/>
    <w:uiPriority w:val="0"/>
    <w:rPr>
      <w:rFonts w:ascii="Arial" w:hAnsi="Arial"/>
      <w:b/>
      <w:bCs/>
      <w:kern w:val="2"/>
      <w:sz w:val="21"/>
      <w:szCs w:val="28"/>
    </w:rPr>
  </w:style>
  <w:style w:type="character" w:customStyle="1" w:styleId="88">
    <w:name w:val="明显强调1"/>
    <w:qFormat/>
    <w:uiPriority w:val="0"/>
    <w:rPr>
      <w:b/>
      <w:bCs/>
      <w:i/>
      <w:iCs/>
      <w:color w:val="4F81BD"/>
    </w:rPr>
  </w:style>
  <w:style w:type="character" w:customStyle="1" w:styleId="89">
    <w:name w:val="Font Style126"/>
    <w:unhideWhenUsed/>
    <w:qFormat/>
    <w:uiPriority w:val="99"/>
    <w:rPr>
      <w:rFonts w:hint="eastAsia" w:ascii="宋体" w:hAnsi="宋体" w:eastAsia="宋体"/>
      <w:b/>
      <w:spacing w:val="-30"/>
      <w:sz w:val="28"/>
    </w:rPr>
  </w:style>
  <w:style w:type="character" w:customStyle="1" w:styleId="90">
    <w:name w:val="不明显强调1"/>
    <w:qFormat/>
    <w:uiPriority w:val="0"/>
    <w:rPr>
      <w:i/>
      <w:iCs/>
      <w:color w:val="808080"/>
    </w:rPr>
  </w:style>
  <w:style w:type="character" w:customStyle="1" w:styleId="91">
    <w:name w:val="Char Char14"/>
    <w:qFormat/>
    <w:uiPriority w:val="0"/>
    <w:rPr>
      <w:rFonts w:ascii="Arial" w:hAnsi="Arial"/>
      <w:b/>
      <w:bCs/>
      <w:kern w:val="2"/>
      <w:sz w:val="21"/>
      <w:szCs w:val="28"/>
    </w:rPr>
  </w:style>
  <w:style w:type="character" w:customStyle="1" w:styleId="92">
    <w:name w:val="标题 Char1"/>
    <w:qFormat/>
    <w:uiPriority w:val="0"/>
    <w:rPr>
      <w:rFonts w:ascii="Cambria" w:hAnsi="Cambria" w:eastAsia="宋体" w:cs="Times New Roman"/>
      <w:b/>
      <w:bCs/>
      <w:sz w:val="32"/>
      <w:szCs w:val="32"/>
    </w:rPr>
  </w:style>
  <w:style w:type="character" w:customStyle="1" w:styleId="93">
    <w:name w:val="不明显参考1"/>
    <w:qFormat/>
    <w:uiPriority w:val="0"/>
    <w:rPr>
      <w:smallCaps/>
      <w:color w:val="C0504D"/>
      <w:u w:val="single"/>
    </w:rPr>
  </w:style>
  <w:style w:type="character" w:customStyle="1" w:styleId="94">
    <w:name w:val="Font Style128"/>
    <w:unhideWhenUsed/>
    <w:qFormat/>
    <w:uiPriority w:val="99"/>
    <w:rPr>
      <w:rFonts w:hint="eastAsia" w:ascii="Times New Roman" w:hAnsi="Times New Roman" w:eastAsia="Times New Roman"/>
      <w:sz w:val="16"/>
    </w:rPr>
  </w:style>
  <w:style w:type="character" w:customStyle="1" w:styleId="95">
    <w:name w:val="标题4 Char Char"/>
    <w:link w:val="96"/>
    <w:qFormat/>
    <w:uiPriority w:val="0"/>
    <w:rPr>
      <w:rFonts w:ascii="Arial" w:hAnsi="Arial"/>
      <w:b/>
      <w:bCs/>
      <w:sz w:val="24"/>
      <w:szCs w:val="32"/>
    </w:rPr>
  </w:style>
  <w:style w:type="paragraph" w:customStyle="1" w:styleId="96">
    <w:name w:val="标题4"/>
    <w:basedOn w:val="4"/>
    <w:next w:val="19"/>
    <w:link w:val="95"/>
    <w:qFormat/>
    <w:uiPriority w:val="0"/>
    <w:rPr>
      <w:rFonts w:ascii="Arial" w:hAnsi="Arial"/>
      <w:kern w:val="0"/>
      <w:sz w:val="24"/>
    </w:rPr>
  </w:style>
  <w:style w:type="character" w:customStyle="1" w:styleId="97">
    <w:name w:val="Font Style125"/>
    <w:unhideWhenUsed/>
    <w:qFormat/>
    <w:uiPriority w:val="99"/>
    <w:rPr>
      <w:rFonts w:hint="eastAsia" w:ascii="宋体" w:hAnsi="宋体" w:eastAsia="宋体"/>
      <w:b/>
      <w:sz w:val="26"/>
    </w:rPr>
  </w:style>
  <w:style w:type="character" w:customStyle="1" w:styleId="98">
    <w:name w:val="正文文本缩进 2 Char1"/>
    <w:semiHidden/>
    <w:qFormat/>
    <w:uiPriority w:val="0"/>
    <w:rPr>
      <w:kern w:val="2"/>
      <w:sz w:val="21"/>
      <w:szCs w:val="24"/>
    </w:rPr>
  </w:style>
  <w:style w:type="character" w:customStyle="1" w:styleId="99">
    <w:name w:val="批注文字 Char Char"/>
    <w:qFormat/>
    <w:uiPriority w:val="0"/>
    <w:rPr>
      <w:kern w:val="2"/>
      <w:sz w:val="21"/>
      <w:szCs w:val="24"/>
      <w:lang w:bidi="ar-SA"/>
    </w:rPr>
  </w:style>
  <w:style w:type="character" w:customStyle="1" w:styleId="100">
    <w:name w:val="引用 Char1"/>
    <w:qFormat/>
    <w:uiPriority w:val="99"/>
    <w:rPr>
      <w:i/>
      <w:iCs/>
      <w:color w:val="000000"/>
      <w:kern w:val="2"/>
      <w:sz w:val="21"/>
      <w:szCs w:val="24"/>
    </w:rPr>
  </w:style>
  <w:style w:type="character" w:customStyle="1" w:styleId="101">
    <w:name w:val="_Style 99"/>
    <w:unhideWhenUsed/>
    <w:qFormat/>
    <w:uiPriority w:val="99"/>
    <w:rPr>
      <w:color w:val="605E5C"/>
      <w:shd w:val="clear" w:color="auto" w:fill="E1DFDD"/>
    </w:rPr>
  </w:style>
  <w:style w:type="character" w:customStyle="1" w:styleId="102">
    <w:name w:val="日期 Char1"/>
    <w:qFormat/>
    <w:uiPriority w:val="0"/>
    <w:rPr>
      <w:rFonts w:ascii="Times New Roman" w:hAnsi="Times New Roman" w:eastAsia="宋体" w:cs="Times New Roman"/>
      <w:szCs w:val="24"/>
    </w:rPr>
  </w:style>
  <w:style w:type="character" w:customStyle="1" w:styleId="103">
    <w:name w:val="Font Style124"/>
    <w:unhideWhenUsed/>
    <w:qFormat/>
    <w:uiPriority w:val="99"/>
    <w:rPr>
      <w:rFonts w:hint="eastAsia" w:ascii="宋体" w:hAnsi="宋体" w:eastAsia="宋体"/>
      <w:spacing w:val="30"/>
      <w:sz w:val="24"/>
    </w:rPr>
  </w:style>
  <w:style w:type="character" w:customStyle="1" w:styleId="104">
    <w:name w:val="明显引用 Char"/>
    <w:link w:val="105"/>
    <w:qFormat/>
    <w:uiPriority w:val="0"/>
    <w:rPr>
      <w:b/>
      <w:bCs/>
      <w:i/>
      <w:iCs/>
      <w:color w:val="4F81BD"/>
      <w:kern w:val="2"/>
      <w:sz w:val="21"/>
      <w:szCs w:val="22"/>
    </w:rPr>
  </w:style>
  <w:style w:type="paragraph" w:styleId="105">
    <w:name w:val="Intense Quote"/>
    <w:basedOn w:val="1"/>
    <w:next w:val="1"/>
    <w:link w:val="104"/>
    <w:qFormat/>
    <w:uiPriority w:val="0"/>
    <w:pPr>
      <w:pBdr>
        <w:bottom w:val="single" w:color="4F81BD" w:sz="4" w:space="4"/>
      </w:pBdr>
      <w:spacing w:before="200" w:after="280"/>
      <w:ind w:left="936" w:right="936"/>
    </w:pPr>
    <w:rPr>
      <w:b/>
      <w:bCs/>
      <w:i/>
      <w:iCs/>
      <w:color w:val="4F81BD"/>
      <w:szCs w:val="22"/>
    </w:rPr>
  </w:style>
  <w:style w:type="character" w:customStyle="1" w:styleId="106">
    <w:name w:val="Font Style123"/>
    <w:unhideWhenUsed/>
    <w:qFormat/>
    <w:uiPriority w:val="99"/>
    <w:rPr>
      <w:rFonts w:hint="eastAsia" w:ascii="宋体" w:hAnsi="宋体" w:eastAsia="宋体"/>
      <w:b/>
      <w:sz w:val="32"/>
    </w:rPr>
  </w:style>
  <w:style w:type="character" w:customStyle="1" w:styleId="107">
    <w:name w:val="Font Style121"/>
    <w:unhideWhenUsed/>
    <w:qFormat/>
    <w:uiPriority w:val="99"/>
    <w:rPr>
      <w:rFonts w:hint="eastAsia" w:ascii="宋体" w:hAnsi="宋体" w:eastAsia="宋体"/>
      <w:spacing w:val="-10"/>
      <w:sz w:val="30"/>
    </w:rPr>
  </w:style>
  <w:style w:type="character" w:customStyle="1" w:styleId="108">
    <w:name w:val="批注文字 Char1"/>
    <w:semiHidden/>
    <w:qFormat/>
    <w:uiPriority w:val="99"/>
    <w:rPr>
      <w:rFonts w:ascii="Times New Roman" w:hAnsi="Times New Roman" w:eastAsia="宋体" w:cs="Times New Roman"/>
      <w:szCs w:val="24"/>
    </w:rPr>
  </w:style>
  <w:style w:type="character" w:customStyle="1" w:styleId="109">
    <w:name w:val="书籍标题1"/>
    <w:qFormat/>
    <w:uiPriority w:val="0"/>
    <w:rPr>
      <w:b/>
      <w:bCs/>
      <w:smallCaps/>
      <w:spacing w:val="5"/>
    </w:rPr>
  </w:style>
  <w:style w:type="character" w:customStyle="1" w:styleId="110">
    <w:name w:val="明显参考1"/>
    <w:qFormat/>
    <w:uiPriority w:val="0"/>
    <w:rPr>
      <w:b/>
      <w:bCs/>
      <w:smallCaps/>
      <w:color w:val="C0504D"/>
      <w:spacing w:val="5"/>
      <w:u w:val="single"/>
    </w:rPr>
  </w:style>
  <w:style w:type="character" w:customStyle="1" w:styleId="111">
    <w:name w:val="Font Style117"/>
    <w:unhideWhenUsed/>
    <w:qFormat/>
    <w:uiPriority w:val="99"/>
    <w:rPr>
      <w:rFonts w:hint="eastAsia" w:ascii="宋体" w:hAnsi="宋体" w:eastAsia="宋体"/>
      <w:spacing w:val="20"/>
      <w:sz w:val="24"/>
    </w:rPr>
  </w:style>
  <w:style w:type="character" w:customStyle="1" w:styleId="112">
    <w:name w:val="引用 Char"/>
    <w:link w:val="113"/>
    <w:qFormat/>
    <w:uiPriority w:val="0"/>
    <w:rPr>
      <w:i/>
      <w:iCs/>
      <w:color w:val="000000"/>
      <w:kern w:val="2"/>
      <w:sz w:val="21"/>
      <w:szCs w:val="22"/>
    </w:rPr>
  </w:style>
  <w:style w:type="paragraph" w:styleId="113">
    <w:name w:val="Quote"/>
    <w:basedOn w:val="1"/>
    <w:next w:val="1"/>
    <w:link w:val="112"/>
    <w:qFormat/>
    <w:uiPriority w:val="0"/>
    <w:rPr>
      <w:i/>
      <w:iCs/>
      <w:color w:val="000000"/>
      <w:szCs w:val="22"/>
    </w:rPr>
  </w:style>
  <w:style w:type="character" w:customStyle="1" w:styleId="114">
    <w:name w:val="正文文本缩进 Char1"/>
    <w:semiHidden/>
    <w:qFormat/>
    <w:uiPriority w:val="99"/>
    <w:rPr>
      <w:kern w:val="2"/>
      <w:sz w:val="21"/>
      <w:szCs w:val="24"/>
    </w:rPr>
  </w:style>
  <w:style w:type="character" w:customStyle="1" w:styleId="115">
    <w:name w:val="批注文字 字符1"/>
    <w:qFormat/>
    <w:uiPriority w:val="0"/>
    <w:rPr>
      <w:kern w:val="2"/>
      <w:sz w:val="21"/>
      <w:szCs w:val="24"/>
    </w:rPr>
  </w:style>
  <w:style w:type="character" w:customStyle="1" w:styleId="116">
    <w:name w:val="文档结构图 Char1"/>
    <w:qFormat/>
    <w:uiPriority w:val="0"/>
    <w:rPr>
      <w:rFonts w:ascii="宋体" w:hAnsi="Times New Roman" w:eastAsia="宋体" w:cs="Times New Roman"/>
      <w:sz w:val="18"/>
      <w:szCs w:val="18"/>
    </w:rPr>
  </w:style>
  <w:style w:type="character" w:customStyle="1" w:styleId="117">
    <w:name w:val="正文文本缩进 3 Char1"/>
    <w:qFormat/>
    <w:uiPriority w:val="0"/>
    <w:rPr>
      <w:rFonts w:ascii="Times New Roman" w:hAnsi="Times New Roman" w:eastAsia="宋体" w:cs="Times New Roman"/>
      <w:sz w:val="16"/>
      <w:szCs w:val="16"/>
    </w:rPr>
  </w:style>
  <w:style w:type="character" w:customStyle="1" w:styleId="118">
    <w:name w:val="标题5 Char Char"/>
    <w:link w:val="119"/>
    <w:qFormat/>
    <w:uiPriority w:val="0"/>
    <w:rPr>
      <w:rFonts w:ascii="Arial" w:hAnsi="Arial"/>
      <w:b/>
      <w:bCs/>
      <w:sz w:val="24"/>
      <w:szCs w:val="32"/>
    </w:rPr>
  </w:style>
  <w:style w:type="paragraph" w:customStyle="1" w:styleId="119">
    <w:name w:val="标题5"/>
    <w:basedOn w:val="5"/>
    <w:link w:val="118"/>
    <w:qFormat/>
    <w:uiPriority w:val="0"/>
    <w:pPr>
      <w:keepNext/>
      <w:keepLines/>
      <w:widowControl w:val="0"/>
      <w:spacing w:before="260" w:after="260" w:line="413" w:lineRule="auto"/>
    </w:pPr>
    <w:rPr>
      <w:rFonts w:ascii="Arial" w:hAnsi="Arial"/>
      <w:szCs w:val="32"/>
    </w:rPr>
  </w:style>
  <w:style w:type="character" w:customStyle="1" w:styleId="120">
    <w:name w:val="Font Style127"/>
    <w:unhideWhenUsed/>
    <w:qFormat/>
    <w:uiPriority w:val="99"/>
    <w:rPr>
      <w:rFonts w:hint="eastAsia" w:ascii="Times New Roman" w:hAnsi="Times New Roman" w:eastAsia="Times New Roman"/>
      <w:sz w:val="20"/>
    </w:rPr>
  </w:style>
  <w:style w:type="character" w:customStyle="1" w:styleId="121">
    <w:name w:val="页脚 Char1"/>
    <w:semiHidden/>
    <w:qFormat/>
    <w:uiPriority w:val="99"/>
    <w:rPr>
      <w:rFonts w:ascii="Times New Roman" w:hAnsi="Times New Roman" w:eastAsia="宋体" w:cs="Times New Roman"/>
      <w:sz w:val="18"/>
      <w:szCs w:val="18"/>
    </w:rPr>
  </w:style>
  <w:style w:type="character" w:customStyle="1" w:styleId="122">
    <w:name w:val="纯文本 Char1"/>
    <w:qFormat/>
    <w:uiPriority w:val="0"/>
    <w:rPr>
      <w:rFonts w:ascii="宋体" w:hAnsi="Courier New" w:eastAsia="宋体" w:cs="Courier New"/>
      <w:szCs w:val="21"/>
    </w:rPr>
  </w:style>
  <w:style w:type="character" w:customStyle="1" w:styleId="123">
    <w:name w:val="副标题 Char1"/>
    <w:qFormat/>
    <w:uiPriority w:val="11"/>
    <w:rPr>
      <w:rFonts w:ascii="Cambria" w:hAnsi="Cambria" w:cs="Times New Roman"/>
      <w:b/>
      <w:bCs/>
      <w:kern w:val="28"/>
      <w:sz w:val="32"/>
      <w:szCs w:val="32"/>
    </w:rPr>
  </w:style>
  <w:style w:type="character" w:customStyle="1" w:styleId="124">
    <w:name w:val="批注主题 Char1"/>
    <w:qFormat/>
    <w:uiPriority w:val="0"/>
    <w:rPr>
      <w:rFonts w:ascii="Times New Roman" w:hAnsi="Times New Roman" w:eastAsia="宋体" w:cs="Times New Roman"/>
      <w:b/>
      <w:bCs/>
      <w:szCs w:val="24"/>
    </w:rPr>
  </w:style>
  <w:style w:type="character" w:customStyle="1" w:styleId="125">
    <w:name w:val="标题 4 Char1"/>
    <w:qFormat/>
    <w:uiPriority w:val="0"/>
    <w:rPr>
      <w:rFonts w:ascii="Arial" w:hAnsi="Arial" w:eastAsia="宋体" w:cs="Times New Roman"/>
      <w:b/>
      <w:bCs/>
      <w:szCs w:val="28"/>
    </w:rPr>
  </w:style>
  <w:style w:type="character" w:customStyle="1" w:styleId="126">
    <w:name w:val="正文文本 Char1"/>
    <w:qFormat/>
    <w:uiPriority w:val="0"/>
    <w:rPr>
      <w:kern w:val="2"/>
      <w:sz w:val="21"/>
      <w:szCs w:val="22"/>
    </w:rPr>
  </w:style>
  <w:style w:type="character" w:customStyle="1" w:styleId="127">
    <w:name w:val="Font Style116"/>
    <w:unhideWhenUsed/>
    <w:qFormat/>
    <w:uiPriority w:val="99"/>
    <w:rPr>
      <w:rFonts w:hint="eastAsia" w:ascii="宋体" w:hAnsi="宋体" w:eastAsia="宋体"/>
      <w:spacing w:val="-20"/>
      <w:sz w:val="24"/>
    </w:rPr>
  </w:style>
  <w:style w:type="character" w:customStyle="1" w:styleId="128">
    <w:name w:val="Font Style94"/>
    <w:unhideWhenUsed/>
    <w:qFormat/>
    <w:uiPriority w:val="99"/>
    <w:rPr>
      <w:rFonts w:hint="eastAsia" w:ascii="Times New Roman" w:hAnsi="Times New Roman" w:eastAsia="Times New Roman"/>
      <w:sz w:val="28"/>
    </w:rPr>
  </w:style>
  <w:style w:type="character" w:customStyle="1" w:styleId="129">
    <w:name w:val="Font Style115"/>
    <w:unhideWhenUsed/>
    <w:qFormat/>
    <w:uiPriority w:val="99"/>
    <w:rPr>
      <w:rFonts w:hint="eastAsia" w:ascii="Times New Roman" w:hAnsi="Times New Roman" w:eastAsia="Times New Roman"/>
      <w:sz w:val="16"/>
    </w:rPr>
  </w:style>
  <w:style w:type="paragraph" w:customStyle="1" w:styleId="130">
    <w:name w:val="Style5"/>
    <w:basedOn w:val="1"/>
    <w:unhideWhenUsed/>
    <w:qFormat/>
    <w:uiPriority w:val="99"/>
    <w:rPr>
      <w:rFonts w:ascii="Calibri" w:hAnsi="Calibri"/>
    </w:rPr>
  </w:style>
  <w:style w:type="paragraph" w:customStyle="1" w:styleId="131">
    <w:name w:val="样式2"/>
    <w:basedOn w:val="3"/>
    <w:qFormat/>
    <w:uiPriority w:val="0"/>
    <w:pPr>
      <w:jc w:val="left"/>
    </w:pPr>
    <w:rPr>
      <w:rFonts w:ascii="Times New Roman" w:hAnsi="Times New Roman"/>
      <w:b w:val="0"/>
      <w:bCs w:val="0"/>
      <w:kern w:val="2"/>
      <w:sz w:val="28"/>
      <w:szCs w:val="21"/>
    </w:rPr>
  </w:style>
  <w:style w:type="paragraph" w:customStyle="1" w:styleId="132">
    <w:name w:val="Char Char Char Char Char Char Char Char Char"/>
    <w:basedOn w:val="1"/>
    <w:qFormat/>
    <w:uiPriority w:val="0"/>
    <w:pPr>
      <w:spacing w:line="360" w:lineRule="auto"/>
      <w:ind w:firstLine="200" w:firstLineChars="200"/>
    </w:pPr>
  </w:style>
  <w:style w:type="paragraph" w:customStyle="1" w:styleId="133">
    <w:name w:val="修订2"/>
    <w:qFormat/>
    <w:uiPriority w:val="99"/>
    <w:rPr>
      <w:rFonts w:ascii="Calibri" w:hAnsi="Calibri" w:eastAsia="宋体" w:cs="Times New Roman"/>
      <w:kern w:val="2"/>
      <w:sz w:val="21"/>
      <w:szCs w:val="24"/>
      <w:lang w:val="en-US" w:eastAsia="zh-CN" w:bidi="ar-SA"/>
    </w:rPr>
  </w:style>
  <w:style w:type="paragraph" w:customStyle="1" w:styleId="134">
    <w:name w:val="CM99"/>
    <w:basedOn w:val="1"/>
    <w:next w:val="1"/>
    <w:qFormat/>
    <w:uiPriority w:val="0"/>
    <w:pPr>
      <w:autoSpaceDE w:val="0"/>
      <w:autoSpaceDN w:val="0"/>
      <w:adjustRightInd w:val="0"/>
      <w:spacing w:after="443"/>
      <w:jc w:val="left"/>
    </w:pPr>
    <w:rPr>
      <w:rFonts w:ascii="宋体"/>
      <w:kern w:val="0"/>
      <w:sz w:val="24"/>
      <w:szCs w:val="20"/>
    </w:rPr>
  </w:style>
  <w:style w:type="paragraph" w:styleId="135">
    <w:name w:val="List Paragraph"/>
    <w:basedOn w:val="1"/>
    <w:qFormat/>
    <w:uiPriority w:val="0"/>
    <w:pPr>
      <w:ind w:firstLine="420" w:firstLineChars="200"/>
    </w:pPr>
    <w:rPr>
      <w:rFonts w:ascii="Calibri" w:hAnsi="Calibri"/>
      <w:szCs w:val="22"/>
    </w:rPr>
  </w:style>
  <w:style w:type="paragraph" w:customStyle="1" w:styleId="136">
    <w:name w:val="Style61"/>
    <w:basedOn w:val="1"/>
    <w:unhideWhenUsed/>
    <w:qFormat/>
    <w:uiPriority w:val="99"/>
    <w:rPr>
      <w:rFonts w:ascii="Calibri" w:hAnsi="Calibri"/>
    </w:rPr>
  </w:style>
  <w:style w:type="paragraph" w:customStyle="1" w:styleId="137">
    <w:name w:val="Style34"/>
    <w:basedOn w:val="1"/>
    <w:unhideWhenUsed/>
    <w:qFormat/>
    <w:uiPriority w:val="99"/>
    <w:pPr>
      <w:spacing w:line="375" w:lineRule="exact"/>
    </w:pPr>
    <w:rPr>
      <w:rFonts w:ascii="Calibri" w:hAnsi="Calibri"/>
    </w:rPr>
  </w:style>
  <w:style w:type="paragraph" w:customStyle="1" w:styleId="138">
    <w:name w:val="列出段落21"/>
    <w:basedOn w:val="1"/>
    <w:qFormat/>
    <w:uiPriority w:val="0"/>
    <w:pPr>
      <w:ind w:firstLine="200" w:firstLineChars="200"/>
    </w:pPr>
    <w:rPr>
      <w:rFonts w:ascii="Calibri" w:hAnsi="Calibri"/>
      <w:szCs w:val="22"/>
    </w:rPr>
  </w:style>
  <w:style w:type="paragraph" w:customStyle="1" w:styleId="139">
    <w:name w:val="Char Char"/>
    <w:basedOn w:val="1"/>
    <w:qFormat/>
    <w:uiPriority w:val="0"/>
  </w:style>
  <w:style w:type="paragraph" w:customStyle="1" w:styleId="140">
    <w:name w:val="Style72"/>
    <w:basedOn w:val="1"/>
    <w:unhideWhenUsed/>
    <w:qFormat/>
    <w:uiPriority w:val="99"/>
    <w:rPr>
      <w:rFonts w:ascii="Calibri" w:hAnsi="Calibri"/>
    </w:rPr>
  </w:style>
  <w:style w:type="paragraph" w:customStyle="1" w:styleId="141">
    <w:name w:val="TOC 标题2"/>
    <w:basedOn w:val="3"/>
    <w:next w:val="1"/>
    <w:qFormat/>
    <w:uiPriority w:val="0"/>
    <w:pPr>
      <w:keepLines/>
      <w:spacing w:before="340" w:after="330" w:line="576" w:lineRule="auto"/>
      <w:outlineLvl w:val="9"/>
    </w:pPr>
    <w:rPr>
      <w:rFonts w:ascii="Calibri" w:hAnsi="Calibri"/>
      <w:kern w:val="44"/>
      <w:sz w:val="44"/>
      <w:szCs w:val="44"/>
    </w:rPr>
  </w:style>
  <w:style w:type="paragraph" w:customStyle="1" w:styleId="142">
    <w:name w:val="Style53"/>
    <w:basedOn w:val="1"/>
    <w:unhideWhenUsed/>
    <w:qFormat/>
    <w:uiPriority w:val="99"/>
    <w:pPr>
      <w:spacing w:line="533" w:lineRule="exact"/>
      <w:ind w:firstLine="581"/>
    </w:pPr>
    <w:rPr>
      <w:rFonts w:ascii="Calibri" w:hAnsi="Calibri"/>
    </w:rPr>
  </w:style>
  <w:style w:type="paragraph" w:customStyle="1" w:styleId="143">
    <w:name w:val="Style62"/>
    <w:basedOn w:val="1"/>
    <w:unhideWhenUsed/>
    <w:qFormat/>
    <w:uiPriority w:val="99"/>
    <w:rPr>
      <w:rFonts w:ascii="Calibri" w:hAnsi="Calibri"/>
    </w:rPr>
  </w:style>
  <w:style w:type="paragraph" w:customStyle="1" w:styleId="144">
    <w:name w:val="Char2"/>
    <w:basedOn w:val="1"/>
    <w:qFormat/>
    <w:uiPriority w:val="0"/>
    <w:pPr>
      <w:widowControl/>
      <w:spacing w:after="160" w:line="240" w:lineRule="exact"/>
      <w:jc w:val="left"/>
    </w:pPr>
    <w:rPr>
      <w:rFonts w:ascii="Calibri" w:hAnsi="Calibri"/>
    </w:rPr>
  </w:style>
  <w:style w:type="paragraph" w:customStyle="1" w:styleId="145">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
    <w:name w:val="Char Char Char Char Char Char Char Char Char Char1"/>
    <w:basedOn w:val="1"/>
    <w:qFormat/>
    <w:uiPriority w:val="0"/>
    <w:rPr>
      <w:rFonts w:ascii="Calibri" w:hAnsi="Calibri"/>
    </w:rPr>
  </w:style>
  <w:style w:type="paragraph" w:customStyle="1" w:styleId="147">
    <w:name w:val="Style77"/>
    <w:basedOn w:val="1"/>
    <w:unhideWhenUsed/>
    <w:qFormat/>
    <w:uiPriority w:val="99"/>
    <w:rPr>
      <w:rFonts w:ascii="Calibri" w:hAnsi="Calibri"/>
    </w:rPr>
  </w:style>
  <w:style w:type="paragraph" w:customStyle="1" w:styleId="148">
    <w:name w:val="Style50"/>
    <w:basedOn w:val="1"/>
    <w:unhideWhenUsed/>
    <w:qFormat/>
    <w:uiPriority w:val="99"/>
    <w:rPr>
      <w:rFonts w:ascii="Calibri" w:hAnsi="Calibri"/>
    </w:rPr>
  </w:style>
  <w:style w:type="paragraph" w:styleId="14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0">
    <w:name w:val="_Style 31"/>
    <w:basedOn w:val="1"/>
    <w:qFormat/>
    <w:uiPriority w:val="0"/>
    <w:rPr>
      <w:rFonts w:ascii="仿宋_GB2312" w:eastAsia="仿宋_GB2312"/>
      <w:kern w:val="0"/>
      <w:szCs w:val="20"/>
    </w:rPr>
  </w:style>
  <w:style w:type="paragraph" w:customStyle="1" w:styleId="151">
    <w:name w:val="Char1 Char Char Char 字元 Char Char 字元 Char 字元 Char1 Char Char Char"/>
    <w:basedOn w:val="1"/>
    <w:qFormat/>
    <w:uiPriority w:val="0"/>
  </w:style>
  <w:style w:type="paragraph" w:customStyle="1" w:styleId="152">
    <w:name w:val="TOC 标题1"/>
    <w:basedOn w:val="3"/>
    <w:next w:val="1"/>
    <w:qFormat/>
    <w:uiPriority w:val="39"/>
    <w:pPr>
      <w:keepLines/>
      <w:spacing w:before="340" w:after="330" w:line="578" w:lineRule="auto"/>
      <w:outlineLvl w:val="9"/>
    </w:pPr>
    <w:rPr>
      <w:rFonts w:ascii="Times New Roman" w:hAnsi="Times New Roman"/>
      <w:kern w:val="44"/>
      <w:sz w:val="44"/>
      <w:szCs w:val="44"/>
    </w:rPr>
  </w:style>
  <w:style w:type="paragraph" w:customStyle="1" w:styleId="153">
    <w:name w:val="Char Char Char Char Char Char Char Char Char Char"/>
    <w:basedOn w:val="1"/>
    <w:qFormat/>
    <w:uiPriority w:val="0"/>
    <w:rPr>
      <w:rFonts w:ascii="Calibri" w:hAnsi="Calibri"/>
    </w:rPr>
  </w:style>
  <w:style w:type="paragraph" w:customStyle="1" w:styleId="154">
    <w:name w:val="修订1"/>
    <w:qFormat/>
    <w:uiPriority w:val="99"/>
    <w:rPr>
      <w:rFonts w:ascii="Times New Roman" w:hAnsi="Times New Roman" w:eastAsia="宋体" w:cs="Times New Roman"/>
      <w:kern w:val="2"/>
      <w:sz w:val="21"/>
      <w:szCs w:val="24"/>
      <w:lang w:val="en-US" w:eastAsia="zh-CN" w:bidi="ar-SA"/>
    </w:rPr>
  </w:style>
  <w:style w:type="paragraph" w:customStyle="1" w:styleId="155">
    <w:name w:val="Style73"/>
    <w:basedOn w:val="1"/>
    <w:unhideWhenUsed/>
    <w:qFormat/>
    <w:uiPriority w:val="99"/>
    <w:pPr>
      <w:spacing w:line="538" w:lineRule="exact"/>
      <w:ind w:firstLine="533"/>
    </w:pPr>
    <w:rPr>
      <w:rFonts w:ascii="Calibri" w:hAnsi="Calibri"/>
    </w:rPr>
  </w:style>
  <w:style w:type="paragraph" w:customStyle="1" w:styleId="156">
    <w:name w:val="Style76"/>
    <w:basedOn w:val="1"/>
    <w:unhideWhenUsed/>
    <w:qFormat/>
    <w:uiPriority w:val="99"/>
    <w:rPr>
      <w:rFonts w:ascii="Calibri" w:hAnsi="Calibri"/>
    </w:rPr>
  </w:style>
  <w:style w:type="paragraph" w:customStyle="1" w:styleId="157">
    <w:name w:val="修订3"/>
    <w:unhideWhenUsed/>
    <w:qFormat/>
    <w:uiPriority w:val="0"/>
    <w:rPr>
      <w:rFonts w:ascii="Times New Roman" w:hAnsi="Times New Roman" w:eastAsia="宋体" w:cs="Times New Roman"/>
      <w:kern w:val="2"/>
      <w:sz w:val="21"/>
      <w:szCs w:val="24"/>
      <w:lang w:val="en-US" w:eastAsia="zh-CN" w:bidi="ar-SA"/>
    </w:rPr>
  </w:style>
  <w:style w:type="paragraph" w:customStyle="1" w:styleId="158">
    <w:name w:val="样式1"/>
    <w:basedOn w:val="1"/>
    <w:qFormat/>
    <w:uiPriority w:val="0"/>
    <w:pPr>
      <w:tabs>
        <w:tab w:val="right" w:leader="dot" w:pos="10142"/>
      </w:tabs>
      <w:autoSpaceDN w:val="0"/>
    </w:pPr>
    <w:rPr>
      <w:rFonts w:ascii="宋体" w:hAnsi="宋体"/>
      <w:sz w:val="28"/>
      <w:szCs w:val="20"/>
    </w:rPr>
  </w:style>
  <w:style w:type="paragraph" w:customStyle="1" w:styleId="159">
    <w:name w:val="正文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0">
    <w:name w:val="样式 标题 3 + (中文) 黑体 小四 非加粗 段前: 7.8 磅 段后: 0 磅 行距: 固定值 20 磅"/>
    <w:basedOn w:val="5"/>
    <w:qFormat/>
    <w:uiPriority w:val="0"/>
    <w:pPr>
      <w:keepNext/>
      <w:keepLines/>
      <w:widowControl w:val="0"/>
      <w:spacing w:line="400" w:lineRule="exact"/>
    </w:pPr>
    <w:rPr>
      <w:rFonts w:eastAsia="黑体" w:cs="宋体"/>
      <w:b w:val="0"/>
      <w:bCs w:val="0"/>
      <w:kern w:val="2"/>
      <w:szCs w:val="20"/>
    </w:rPr>
  </w:style>
  <w:style w:type="paragraph" w:customStyle="1" w:styleId="161">
    <w:name w:val="Style26"/>
    <w:basedOn w:val="1"/>
    <w:unhideWhenUsed/>
    <w:qFormat/>
    <w:uiPriority w:val="99"/>
    <w:rPr>
      <w:rFonts w:ascii="Calibri" w:hAnsi="Calibri"/>
    </w:rPr>
  </w:style>
  <w:style w:type="paragraph" w:customStyle="1" w:styleId="162">
    <w:name w:val="标题 1 +"/>
    <w:basedOn w:val="3"/>
    <w:next w:val="1"/>
    <w:qFormat/>
    <w:uiPriority w:val="0"/>
    <w:pPr>
      <w:keepLines/>
      <w:spacing w:before="0" w:after="0" w:line="600" w:lineRule="auto"/>
      <w:jc w:val="center"/>
    </w:pPr>
    <w:rPr>
      <w:rFonts w:ascii="Times New Roman" w:hAnsi="Times New Roman" w:eastAsia="黑体"/>
      <w:kern w:val="0"/>
    </w:rPr>
  </w:style>
  <w:style w:type="paragraph" w:customStyle="1" w:styleId="163">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64">
    <w:name w:val="_Style 4"/>
    <w:basedOn w:val="1"/>
    <w:qFormat/>
    <w:uiPriority w:val="34"/>
    <w:pPr>
      <w:widowControl/>
      <w:spacing w:line="120" w:lineRule="exact"/>
      <w:ind w:firstLine="420" w:firstLineChars="200"/>
      <w:jc w:val="left"/>
    </w:pPr>
    <w:rPr>
      <w:rFonts w:ascii="Calibri" w:hAnsi="Calibri"/>
      <w:sz w:val="18"/>
      <w:szCs w:val="18"/>
    </w:rPr>
  </w:style>
  <w:style w:type="paragraph" w:customStyle="1" w:styleId="165">
    <w:name w:val="Char Char Char Char Char Char Char11"/>
    <w:basedOn w:val="1"/>
    <w:qFormat/>
    <w:uiPriority w:val="0"/>
    <w:pPr>
      <w:snapToGrid w:val="0"/>
      <w:spacing w:line="360" w:lineRule="auto"/>
      <w:ind w:firstLine="200" w:firstLineChars="200"/>
    </w:pPr>
    <w:rPr>
      <w:rFonts w:ascii="Calibri" w:hAnsi="Calibri" w:eastAsia="仿宋_GB2312"/>
      <w:sz w:val="24"/>
    </w:rPr>
  </w:style>
  <w:style w:type="paragraph" w:customStyle="1" w:styleId="166">
    <w:name w:val="Style70"/>
    <w:basedOn w:val="1"/>
    <w:unhideWhenUsed/>
    <w:qFormat/>
    <w:uiPriority w:val="99"/>
    <w:pPr>
      <w:spacing w:line="549" w:lineRule="exact"/>
      <w:ind w:firstLine="686"/>
    </w:pPr>
    <w:rPr>
      <w:rFonts w:ascii="Calibri" w:hAnsi="Calibri"/>
    </w:rPr>
  </w:style>
  <w:style w:type="paragraph" w:customStyle="1" w:styleId="167">
    <w:name w:val="TOC 标题11"/>
    <w:basedOn w:val="3"/>
    <w:next w:val="1"/>
    <w:qFormat/>
    <w:uiPriority w:val="39"/>
    <w:pPr>
      <w:keepLines/>
      <w:spacing w:before="340" w:after="330" w:line="578" w:lineRule="auto"/>
      <w:outlineLvl w:val="9"/>
    </w:pPr>
    <w:rPr>
      <w:rFonts w:ascii="Times New Roman" w:hAnsi="Times New Roman"/>
      <w:kern w:val="44"/>
      <w:sz w:val="44"/>
      <w:szCs w:val="44"/>
    </w:rPr>
  </w:style>
  <w:style w:type="paragraph" w:customStyle="1" w:styleId="168">
    <w:name w:val="_Style 167"/>
    <w:basedOn w:val="3"/>
    <w:next w:val="1"/>
    <w:unhideWhenUsed/>
    <w:qFormat/>
    <w:uiPriority w:val="39"/>
    <w:pPr>
      <w:keepLines/>
      <w:widowControl/>
      <w:spacing w:after="0" w:line="259" w:lineRule="auto"/>
      <w:jc w:val="left"/>
      <w:outlineLvl w:val="9"/>
    </w:pPr>
    <w:rPr>
      <w:rFonts w:ascii="等线 Light" w:hAnsi="等线 Light" w:eastAsia="等线 Light"/>
      <w:b w:val="0"/>
      <w:bCs w:val="0"/>
      <w:color w:val="2F5496"/>
      <w:kern w:val="0"/>
    </w:rPr>
  </w:style>
  <w:style w:type="paragraph" w:customStyle="1" w:styleId="169">
    <w:name w:val="Style27"/>
    <w:basedOn w:val="1"/>
    <w:unhideWhenUsed/>
    <w:qFormat/>
    <w:uiPriority w:val="99"/>
    <w:rPr>
      <w:rFonts w:ascii="Calibri" w:hAnsi="Calibri"/>
    </w:rPr>
  </w:style>
  <w:style w:type="paragraph" w:customStyle="1" w:styleId="170">
    <w:name w:val="Style63"/>
    <w:basedOn w:val="1"/>
    <w:unhideWhenUsed/>
    <w:qFormat/>
    <w:uiPriority w:val="99"/>
    <w:pPr>
      <w:spacing w:line="564" w:lineRule="exact"/>
      <w:ind w:firstLine="682"/>
    </w:pPr>
    <w:rPr>
      <w:rFonts w:ascii="Calibri" w:hAnsi="Calibri"/>
    </w:rPr>
  </w:style>
  <w:style w:type="paragraph" w:customStyle="1" w:styleId="171">
    <w:name w:val="1 Char Char Char Char"/>
    <w:basedOn w:val="159"/>
    <w:qFormat/>
    <w:uiPriority w:val="0"/>
  </w:style>
  <w:style w:type="paragraph" w:customStyle="1" w:styleId="172">
    <w:name w:val="Char Char Char Char Char Char Char1"/>
    <w:basedOn w:val="1"/>
    <w:qFormat/>
    <w:uiPriority w:val="0"/>
    <w:pPr>
      <w:snapToGrid w:val="0"/>
      <w:spacing w:line="360" w:lineRule="auto"/>
      <w:ind w:firstLine="200" w:firstLineChars="200"/>
    </w:pPr>
    <w:rPr>
      <w:rFonts w:ascii="Calibri" w:hAnsi="Calibri" w:eastAsia="仿宋_GB2312"/>
      <w:sz w:val="24"/>
    </w:rPr>
  </w:style>
  <w:style w:type="paragraph" w:customStyle="1" w:styleId="173">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74">
    <w:name w:val="Style52"/>
    <w:basedOn w:val="1"/>
    <w:unhideWhenUsed/>
    <w:qFormat/>
    <w:uiPriority w:val="99"/>
    <w:pPr>
      <w:spacing w:line="682" w:lineRule="exact"/>
      <w:ind w:firstLine="557"/>
    </w:pPr>
    <w:rPr>
      <w:rFonts w:ascii="Calibri" w:hAnsi="Calibri"/>
    </w:rPr>
  </w:style>
  <w:style w:type="paragraph" w:customStyle="1" w:styleId="175">
    <w:name w:val="Style36"/>
    <w:basedOn w:val="1"/>
    <w:unhideWhenUsed/>
    <w:qFormat/>
    <w:uiPriority w:val="99"/>
    <w:rPr>
      <w:rFonts w:ascii="Calibri" w:hAnsi="Calibri"/>
    </w:rPr>
  </w:style>
  <w:style w:type="paragraph" w:customStyle="1" w:styleId="176">
    <w:name w:val="标题3"/>
    <w:basedOn w:val="3"/>
    <w:qFormat/>
    <w:uiPriority w:val="0"/>
    <w:pPr>
      <w:spacing w:beforeLines="50" w:afterLines="50" w:line="400" w:lineRule="exact"/>
    </w:pPr>
    <w:rPr>
      <w:rFonts w:ascii="宋体" w:hAnsi="宋体"/>
      <w:sz w:val="24"/>
    </w:rPr>
  </w:style>
  <w:style w:type="paragraph" w:customStyle="1" w:styleId="177">
    <w:name w:val="Style9"/>
    <w:basedOn w:val="1"/>
    <w:unhideWhenUsed/>
    <w:qFormat/>
    <w:uiPriority w:val="99"/>
    <w:rPr>
      <w:rFonts w:ascii="Calibri" w:hAnsi="Calibri"/>
    </w:rPr>
  </w:style>
  <w:style w:type="paragraph" w:customStyle="1" w:styleId="178">
    <w:name w:val="标题2"/>
    <w:basedOn w:val="37"/>
    <w:qFormat/>
    <w:uiPriority w:val="0"/>
    <w:pPr>
      <w:spacing w:after="240"/>
      <w:jc w:val="left"/>
    </w:pPr>
    <w:rPr>
      <w:sz w:val="30"/>
    </w:rPr>
  </w:style>
  <w:style w:type="paragraph" w:customStyle="1" w:styleId="179">
    <w:name w:val="样式3"/>
    <w:basedOn w:val="5"/>
    <w:qFormat/>
    <w:uiPriority w:val="0"/>
    <w:pPr>
      <w:jc w:val="left"/>
    </w:pPr>
    <w:rPr>
      <w:b w:val="0"/>
      <w:bCs w:val="0"/>
      <w:kern w:val="2"/>
      <w:sz w:val="28"/>
      <w:szCs w:val="28"/>
    </w:rPr>
  </w:style>
  <w:style w:type="paragraph" w:customStyle="1" w:styleId="180">
    <w:name w:val="_Style 179"/>
    <w:unhideWhenUsed/>
    <w:qFormat/>
    <w:uiPriority w:val="99"/>
    <w:rPr>
      <w:rFonts w:ascii="Times New Roman" w:hAnsi="Times New Roman" w:eastAsia="宋体" w:cs="Times New Roman"/>
      <w:kern w:val="2"/>
      <w:sz w:val="21"/>
      <w:szCs w:val="24"/>
      <w:lang w:val="en-US" w:eastAsia="zh-CN" w:bidi="ar-SA"/>
    </w:rPr>
  </w:style>
  <w:style w:type="paragraph" w:customStyle="1" w:styleId="181">
    <w:name w:val="样式 标题 2 + Times New Roman 四号 非加粗 段前: 5 磅 段后: 0 磅 行距: 固定值 20..."/>
    <w:basedOn w:val="4"/>
    <w:qFormat/>
    <w:uiPriority w:val="0"/>
    <w:pPr>
      <w:spacing w:before="100" w:after="0" w:line="400" w:lineRule="exact"/>
    </w:pPr>
    <w:rPr>
      <w:rFonts w:ascii="Times New Roman" w:hAnsi="Times New Roman" w:eastAsia="黑体" w:cs="宋体"/>
      <w:b w:val="0"/>
      <w:bCs w:val="0"/>
      <w:kern w:val="0"/>
      <w:sz w:val="28"/>
      <w:szCs w:val="20"/>
    </w:rPr>
  </w:style>
  <w:style w:type="paragraph" w:customStyle="1" w:styleId="182">
    <w:name w:val="CM91"/>
    <w:basedOn w:val="1"/>
    <w:next w:val="1"/>
    <w:qFormat/>
    <w:uiPriority w:val="0"/>
    <w:pPr>
      <w:autoSpaceDE w:val="0"/>
      <w:autoSpaceDN w:val="0"/>
      <w:adjustRightInd w:val="0"/>
      <w:spacing w:after="160"/>
      <w:jc w:val="left"/>
    </w:pPr>
    <w:rPr>
      <w:rFonts w:ascii="宋体"/>
      <w:kern w:val="0"/>
      <w:sz w:val="24"/>
      <w:szCs w:val="20"/>
    </w:rPr>
  </w:style>
  <w:style w:type="paragraph" w:customStyle="1" w:styleId="183">
    <w:name w:val="Style46"/>
    <w:basedOn w:val="1"/>
    <w:unhideWhenUsed/>
    <w:qFormat/>
    <w:uiPriority w:val="99"/>
    <w:pPr>
      <w:spacing w:line="672" w:lineRule="exact"/>
    </w:pPr>
    <w:rPr>
      <w:rFonts w:ascii="Calibri" w:hAnsi="Calibri"/>
    </w:rPr>
  </w:style>
  <w:style w:type="paragraph" w:customStyle="1" w:styleId="184">
    <w:name w:val="正文文本2"/>
    <w:basedOn w:val="1"/>
    <w:qFormat/>
    <w:uiPriority w:val="0"/>
    <w:pPr>
      <w:widowControl/>
      <w:shd w:val="clear" w:color="auto" w:fill="FFFFFF"/>
      <w:spacing w:before="120" w:line="391" w:lineRule="exact"/>
      <w:ind w:hanging="420"/>
      <w:jc w:val="distribute"/>
    </w:pPr>
    <w:rPr>
      <w:rFonts w:ascii="MingLiU" w:hAnsi="MingLiU" w:eastAsia="MingLiU" w:cs="MingLiU"/>
      <w:szCs w:val="21"/>
      <w:shd w:val="clear" w:color="auto" w:fill="FFFFFF"/>
    </w:rPr>
  </w:style>
  <w:style w:type="paragraph" w:customStyle="1" w:styleId="185">
    <w:name w:val="Style28"/>
    <w:basedOn w:val="1"/>
    <w:unhideWhenUsed/>
    <w:qFormat/>
    <w:uiPriority w:val="99"/>
    <w:pPr>
      <w:spacing w:line="552" w:lineRule="exact"/>
      <w:ind w:firstLine="547"/>
    </w:pPr>
    <w:rPr>
      <w:rFonts w:ascii="Calibri" w:hAnsi="Calibri"/>
    </w:rPr>
  </w:style>
  <w:style w:type="paragraph" w:customStyle="1" w:styleId="186">
    <w:name w:val="Char"/>
    <w:basedOn w:val="1"/>
    <w:qFormat/>
    <w:uiPriority w:val="0"/>
    <w:rPr>
      <w:rFonts w:ascii="Tahoma" w:hAnsi="Tahoma" w:eastAsia="仿宋_GB2312"/>
      <w:sz w:val="24"/>
      <w:szCs w:val="20"/>
    </w:rPr>
  </w:style>
  <w:style w:type="paragraph" w:customStyle="1" w:styleId="187">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8">
    <w:name w:val="Style12"/>
    <w:basedOn w:val="1"/>
    <w:unhideWhenUsed/>
    <w:qFormat/>
    <w:uiPriority w:val="99"/>
    <w:pPr>
      <w:spacing w:line="564" w:lineRule="exact"/>
      <w:ind w:hanging="115"/>
    </w:pPr>
    <w:rPr>
      <w:rFonts w:ascii="Calibri" w:hAnsi="Calibri"/>
    </w:rPr>
  </w:style>
  <w:style w:type="paragraph" w:customStyle="1" w:styleId="189">
    <w:name w:val="Style11"/>
    <w:basedOn w:val="1"/>
    <w:unhideWhenUsed/>
    <w:qFormat/>
    <w:uiPriority w:val="99"/>
    <w:pPr>
      <w:spacing w:line="559" w:lineRule="exact"/>
      <w:ind w:firstLine="590"/>
    </w:pPr>
    <w:rPr>
      <w:rFonts w:ascii="Calibri" w:hAnsi="Calibri"/>
    </w:rPr>
  </w:style>
  <w:style w:type="paragraph" w:customStyle="1" w:styleId="190">
    <w:name w:val="Style42"/>
    <w:basedOn w:val="1"/>
    <w:unhideWhenUsed/>
    <w:qFormat/>
    <w:uiPriority w:val="99"/>
    <w:pPr>
      <w:spacing w:line="542" w:lineRule="exact"/>
      <w:ind w:firstLine="547"/>
    </w:pPr>
    <w:rPr>
      <w:rFonts w:ascii="Calibri" w:hAnsi="Calibri"/>
    </w:rPr>
  </w:style>
  <w:style w:type="paragraph" w:customStyle="1" w:styleId="191">
    <w:name w:val="Style69"/>
    <w:basedOn w:val="1"/>
    <w:unhideWhenUsed/>
    <w:qFormat/>
    <w:uiPriority w:val="99"/>
    <w:pPr>
      <w:spacing w:line="557" w:lineRule="exact"/>
      <w:ind w:firstLine="1666"/>
    </w:pPr>
    <w:rPr>
      <w:rFonts w:ascii="Calibri" w:hAnsi="Calibri"/>
    </w:rPr>
  </w:style>
  <w:style w:type="paragraph" w:customStyle="1" w:styleId="192">
    <w:name w:val="Style41"/>
    <w:basedOn w:val="1"/>
    <w:unhideWhenUsed/>
    <w:qFormat/>
    <w:uiPriority w:val="99"/>
    <w:pPr>
      <w:spacing w:line="542" w:lineRule="exact"/>
      <w:ind w:firstLine="125"/>
    </w:pPr>
    <w:rPr>
      <w:rFonts w:ascii="Calibri" w:hAnsi="Calibri"/>
    </w:rPr>
  </w:style>
  <w:style w:type="paragraph" w:customStyle="1" w:styleId="193">
    <w:name w:val="Style48"/>
    <w:basedOn w:val="1"/>
    <w:unhideWhenUsed/>
    <w:qFormat/>
    <w:uiPriority w:val="99"/>
    <w:pPr>
      <w:spacing w:line="542" w:lineRule="exact"/>
      <w:jc w:val="right"/>
    </w:pPr>
    <w:rPr>
      <w:rFonts w:ascii="Calibri" w:hAnsi="Calibri"/>
    </w:rPr>
  </w:style>
  <w:style w:type="paragraph" w:customStyle="1" w:styleId="194">
    <w:name w:val="Style78"/>
    <w:basedOn w:val="1"/>
    <w:unhideWhenUsed/>
    <w:qFormat/>
    <w:uiPriority w:val="99"/>
    <w:rPr>
      <w:rFonts w:ascii="Calibri" w:hAnsi="Calibri"/>
    </w:rPr>
  </w:style>
  <w:style w:type="paragraph" w:customStyle="1" w:styleId="195">
    <w:name w:val="Style16"/>
    <w:basedOn w:val="1"/>
    <w:unhideWhenUsed/>
    <w:qFormat/>
    <w:uiPriority w:val="99"/>
    <w:pPr>
      <w:jc w:val="right"/>
    </w:pPr>
    <w:rPr>
      <w:rFonts w:ascii="Calibri" w:hAnsi="Calibri"/>
    </w:rPr>
  </w:style>
  <w:style w:type="paragraph" w:customStyle="1" w:styleId="196">
    <w:name w:val="Style8"/>
    <w:basedOn w:val="1"/>
    <w:unhideWhenUsed/>
    <w:qFormat/>
    <w:uiPriority w:val="99"/>
    <w:pPr>
      <w:spacing w:line="566" w:lineRule="exact"/>
      <w:jc w:val="center"/>
    </w:pPr>
    <w:rPr>
      <w:rFonts w:ascii="Calibri" w:hAnsi="Calibri"/>
    </w:rPr>
  </w:style>
  <w:style w:type="paragraph" w:customStyle="1" w:styleId="197">
    <w:name w:val="默认段落字体 Para Char Char Char Char Char Char Char Char Char Char Char Char Char Char Char Char Char Char Char"/>
    <w:basedOn w:val="1"/>
    <w:qFormat/>
    <w:uiPriority w:val="0"/>
  </w:style>
  <w:style w:type="paragraph" w:customStyle="1" w:styleId="198">
    <w:name w:val="Aufzaehlung"/>
    <w:basedOn w:val="1"/>
    <w:qFormat/>
    <w:uiPriority w:val="0"/>
    <w:pPr>
      <w:widowControl/>
      <w:spacing w:line="240" w:lineRule="atLeast"/>
      <w:ind w:left="284" w:hanging="284"/>
      <w:jc w:val="left"/>
    </w:pPr>
    <w:rPr>
      <w:rFonts w:ascii="Arial" w:hAnsi="Arial"/>
      <w:kern w:val="0"/>
      <w:sz w:val="22"/>
      <w:lang w:eastAsia="en-US"/>
    </w:rPr>
  </w:style>
  <w:style w:type="paragraph" w:customStyle="1" w:styleId="199">
    <w:name w:val="普通 (Web)"/>
    <w:basedOn w:val="1"/>
    <w:qFormat/>
    <w:uiPriority w:val="0"/>
    <w:pPr>
      <w:widowControl/>
      <w:spacing w:before="100" w:beforeAutospacing="1" w:after="100" w:afterAutospacing="1"/>
      <w:jc w:val="left"/>
    </w:pPr>
    <w:rPr>
      <w:rFonts w:ascii="Arial Unicode MS" w:hAnsi="Arial Unicode MS" w:eastAsia="Arial Unicode MS" w:cs="宋体"/>
      <w:kern w:val="0"/>
      <w:sz w:val="24"/>
    </w:rPr>
  </w:style>
  <w:style w:type="paragraph" w:customStyle="1" w:styleId="200">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201">
    <w:name w:val="Style10"/>
    <w:basedOn w:val="1"/>
    <w:unhideWhenUsed/>
    <w:qFormat/>
    <w:uiPriority w:val="99"/>
    <w:pPr>
      <w:spacing w:line="538" w:lineRule="exact"/>
    </w:pPr>
    <w:rPr>
      <w:rFonts w:ascii="Calibri" w:hAnsi="Calibri"/>
    </w:rPr>
  </w:style>
  <w:style w:type="paragraph" w:customStyle="1" w:styleId="202">
    <w:name w:val="样式 图表 + 五号"/>
    <w:basedOn w:val="1"/>
    <w:qFormat/>
    <w:uiPriority w:val="0"/>
    <w:pPr>
      <w:spacing w:line="360" w:lineRule="auto"/>
      <w:ind w:left="-61" w:leftChars="-29" w:firstLine="522" w:firstLineChars="200"/>
    </w:pPr>
    <w:rPr>
      <w:rFonts w:ascii="宋体" w:hAnsi="宋体"/>
      <w:b/>
      <w:color w:val="FF0000"/>
      <w:spacing w:val="-10"/>
      <w:sz w:val="28"/>
      <w:szCs w:val="28"/>
    </w:rPr>
  </w:style>
  <w:style w:type="paragraph" w:customStyle="1" w:styleId="203">
    <w:name w:val="Style71"/>
    <w:basedOn w:val="1"/>
    <w:unhideWhenUsed/>
    <w:qFormat/>
    <w:uiPriority w:val="99"/>
    <w:pPr>
      <w:spacing w:line="538" w:lineRule="exact"/>
      <w:ind w:firstLine="101"/>
    </w:pPr>
    <w:rPr>
      <w:rFonts w:ascii="Calibri" w:hAnsi="Calibri"/>
    </w:rPr>
  </w:style>
  <w:style w:type="paragraph" w:customStyle="1" w:styleId="204">
    <w:name w:val="_Style 36"/>
    <w:qFormat/>
    <w:uiPriority w:val="0"/>
    <w:rPr>
      <w:rFonts w:ascii="Times New Roman" w:hAnsi="Times New Roman" w:eastAsia="宋体" w:cs="Times New Roman"/>
      <w:kern w:val="2"/>
      <w:sz w:val="21"/>
      <w:szCs w:val="24"/>
      <w:lang w:val="en-US" w:eastAsia="zh-CN" w:bidi="ar-SA"/>
    </w:rPr>
  </w:style>
  <w:style w:type="paragraph" w:customStyle="1" w:styleId="205">
    <w:name w:val="Style64"/>
    <w:basedOn w:val="1"/>
    <w:unhideWhenUsed/>
    <w:qFormat/>
    <w:uiPriority w:val="99"/>
    <w:rPr>
      <w:rFonts w:ascii="Calibri" w:hAnsi="Calibri"/>
    </w:rPr>
  </w:style>
  <w:style w:type="paragraph" w:customStyle="1" w:styleId="206">
    <w:name w:val="Style68"/>
    <w:basedOn w:val="1"/>
    <w:unhideWhenUsed/>
    <w:qFormat/>
    <w:uiPriority w:val="99"/>
    <w:pPr>
      <w:spacing w:line="547" w:lineRule="exact"/>
    </w:pPr>
    <w:rPr>
      <w:rFonts w:ascii="Calibri" w:hAnsi="Calibri"/>
    </w:rPr>
  </w:style>
  <w:style w:type="paragraph" w:customStyle="1" w:styleId="207">
    <w:name w:val="List Paragraph1"/>
    <w:basedOn w:val="1"/>
    <w:qFormat/>
    <w:uiPriority w:val="0"/>
    <w:pPr>
      <w:ind w:firstLine="420" w:firstLineChars="200"/>
    </w:pPr>
    <w:rPr>
      <w:rFonts w:ascii="Calibri" w:hAnsi="Calibri"/>
      <w:szCs w:val="22"/>
    </w:rPr>
  </w:style>
  <w:style w:type="paragraph" w:customStyle="1" w:styleId="208">
    <w:name w:val="Style29"/>
    <w:basedOn w:val="1"/>
    <w:unhideWhenUsed/>
    <w:qFormat/>
    <w:uiPriority w:val="99"/>
    <w:pPr>
      <w:spacing w:line="547" w:lineRule="exact"/>
      <w:ind w:firstLine="547"/>
    </w:pPr>
    <w:rPr>
      <w:rFonts w:ascii="Calibri" w:hAnsi="Calibri"/>
    </w:rPr>
  </w:style>
  <w:style w:type="paragraph" w:customStyle="1" w:styleId="20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210">
    <w:name w:val="正文_1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1">
    <w:name w:val="Style21"/>
    <w:basedOn w:val="1"/>
    <w:unhideWhenUsed/>
    <w:qFormat/>
    <w:uiPriority w:val="99"/>
    <w:pPr>
      <w:spacing w:line="566" w:lineRule="exact"/>
      <w:ind w:firstLine="682"/>
    </w:pPr>
    <w:rPr>
      <w:rFonts w:ascii="Calibri" w:hAnsi="Calibri"/>
    </w:rPr>
  </w:style>
  <w:style w:type="paragraph" w:customStyle="1" w:styleId="212">
    <w:name w:val="Style15"/>
    <w:basedOn w:val="1"/>
    <w:unhideWhenUsed/>
    <w:qFormat/>
    <w:uiPriority w:val="99"/>
    <w:pPr>
      <w:spacing w:line="557" w:lineRule="exact"/>
      <w:ind w:firstLine="672"/>
    </w:pPr>
    <w:rPr>
      <w:rFonts w:ascii="Calibri" w:hAnsi="Calibri"/>
    </w:rPr>
  </w:style>
  <w:style w:type="paragraph" w:customStyle="1" w:styleId="213">
    <w:name w:val="Style45"/>
    <w:basedOn w:val="1"/>
    <w:unhideWhenUsed/>
    <w:qFormat/>
    <w:uiPriority w:val="99"/>
    <w:rPr>
      <w:rFonts w:ascii="Calibri" w:hAnsi="Calibri"/>
    </w:rPr>
  </w:style>
  <w:style w:type="paragraph" w:customStyle="1" w:styleId="214">
    <w:name w:val="修订21"/>
    <w:qFormat/>
    <w:uiPriority w:val="0"/>
    <w:rPr>
      <w:rFonts w:ascii="Times New Roman" w:hAnsi="Times New Roman" w:eastAsia="宋体" w:cs="Times New Roman"/>
      <w:kern w:val="2"/>
      <w:sz w:val="21"/>
      <w:szCs w:val="24"/>
      <w:lang w:val="en-US" w:eastAsia="zh-CN" w:bidi="ar-SA"/>
    </w:rPr>
  </w:style>
  <w:style w:type="paragraph" w:customStyle="1" w:styleId="215">
    <w:name w:val="Style24"/>
    <w:basedOn w:val="1"/>
    <w:unhideWhenUsed/>
    <w:qFormat/>
    <w:uiPriority w:val="99"/>
    <w:rPr>
      <w:rFonts w:ascii="Calibri" w:hAnsi="Calibri"/>
    </w:rPr>
  </w:style>
  <w:style w:type="paragraph" w:customStyle="1" w:styleId="216">
    <w:name w:val="Style23"/>
    <w:basedOn w:val="1"/>
    <w:unhideWhenUsed/>
    <w:qFormat/>
    <w:uiPriority w:val="99"/>
    <w:rPr>
      <w:rFonts w:ascii="Calibri" w:hAnsi="Calibri"/>
    </w:rPr>
  </w:style>
  <w:style w:type="paragraph" w:customStyle="1" w:styleId="217">
    <w:name w:val="列出段落2"/>
    <w:basedOn w:val="1"/>
    <w:qFormat/>
    <w:uiPriority w:val="0"/>
    <w:pPr>
      <w:ind w:firstLine="200" w:firstLineChars="200"/>
    </w:pPr>
    <w:rPr>
      <w:rFonts w:ascii="Calibri" w:hAnsi="Calibri"/>
      <w:szCs w:val="22"/>
    </w:rPr>
  </w:style>
  <w:style w:type="paragraph" w:customStyle="1" w:styleId="218">
    <w:name w:val="Style13"/>
    <w:basedOn w:val="1"/>
    <w:unhideWhenUsed/>
    <w:qFormat/>
    <w:uiPriority w:val="99"/>
    <w:rPr>
      <w:rFonts w:ascii="Calibri" w:hAnsi="Calibri"/>
    </w:rPr>
  </w:style>
  <w:style w:type="paragraph" w:customStyle="1" w:styleId="219">
    <w:name w:val="Style44"/>
    <w:basedOn w:val="1"/>
    <w:unhideWhenUsed/>
    <w:qFormat/>
    <w:uiPriority w:val="99"/>
    <w:rPr>
      <w:rFonts w:ascii="Calibri" w:hAnsi="Calibri"/>
    </w:rPr>
  </w:style>
  <w:style w:type="paragraph" w:customStyle="1" w:styleId="220">
    <w:name w:val="Style4"/>
    <w:basedOn w:val="1"/>
    <w:unhideWhenUsed/>
    <w:qFormat/>
    <w:uiPriority w:val="99"/>
    <w:rPr>
      <w:rFonts w:ascii="Calibri" w:hAnsi="Calibri"/>
    </w:rPr>
  </w:style>
  <w:style w:type="paragraph" w:customStyle="1" w:styleId="221">
    <w:name w:val="_Style 39"/>
    <w:basedOn w:val="159"/>
    <w:qFormat/>
    <w:uiPriority w:val="0"/>
  </w:style>
  <w:style w:type="paragraph" w:customStyle="1" w:styleId="222">
    <w:name w:val="Default"/>
    <w:qFormat/>
    <w:uiPriority w:val="0"/>
    <w:pPr>
      <w:widowControl w:val="0"/>
      <w:autoSpaceDE w:val="0"/>
      <w:autoSpaceDN w:val="0"/>
      <w:adjustRightInd w:val="0"/>
    </w:pPr>
    <w:rPr>
      <w:rFonts w:ascii="FZShuSong-Z01" w:hAnsi="Times New Roman" w:eastAsia="FZShuSong-Z01" w:cs="FZShuSong-Z01"/>
      <w:color w:val="000000"/>
      <w:sz w:val="24"/>
      <w:szCs w:val="24"/>
      <w:lang w:val="en-US" w:eastAsia="zh-CN" w:bidi="ar-SA"/>
    </w:rPr>
  </w:style>
  <w:style w:type="character" w:customStyle="1" w:styleId="223">
    <w:name w:val="黑体 小四"/>
    <w:qFormat/>
    <w:uiPriority w:val="0"/>
    <w:rPr>
      <w:rFonts w:hint="eastAsia" w:ascii="黑体" w:hAnsi="黑体" w:eastAsia="黑体"/>
      <w:kern w:val="0"/>
      <w:sz w:val="24"/>
    </w:rPr>
  </w:style>
  <w:style w:type="character" w:customStyle="1" w:styleId="224">
    <w:name w:val="标题 1 Char"/>
    <w:link w:val="3"/>
    <w:qFormat/>
    <w:uiPriority w:val="0"/>
    <w:rPr>
      <w:rFonts w:ascii="Cambria" w:hAnsi="Cambria"/>
      <w:b/>
      <w:kern w:val="32"/>
      <w:sz w:val="32"/>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70</Pages>
  <Words>13044</Words>
  <Characters>13690</Characters>
  <Lines>395</Lines>
  <Paragraphs>111</Paragraphs>
  <TotalTime>23</TotalTime>
  <ScaleCrop>false</ScaleCrop>
  <LinksUpToDate>false</LinksUpToDate>
  <CharactersWithSpaces>13896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2024-10-28T07:36:00Z</dcterms:created>
  <dc:creator>User</dc:creator>
  <cp:lastModifiedBy>Administrator</cp:lastModifiedBy>
  <cp:lastPrinted>2024-09-25T05:15:00Z</cp:lastPrinted>
  <dcterms:modified xsi:type="dcterms:W3CDTF">2024-12-06T02:49:08Z</dcterms:modified>
  <dc:title>第二章  投标人须知</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FE9F64EB25B44722B79A7D492DD3CE43_13</vt:lpwstr>
  </property>
</Properties>
</file>