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9F82B">
      <w:pPr>
        <w:keepNext w:val="0"/>
        <w:keepLines w:val="0"/>
        <w:pageBreakBefore w:val="0"/>
        <w:widowControl/>
        <w:suppressLineNumbers w:val="0"/>
        <w:overflowPunct/>
        <w:topLinePunct w:val="0"/>
        <w:bidi w:val="0"/>
        <w:spacing w:line="21" w:lineRule="atLeast"/>
        <w:jc w:val="center"/>
        <w:rPr>
          <w:rFonts w:hint="default" w:ascii="黑体" w:hAnsi="黑体" w:eastAsia="黑体" w:cs="黑体"/>
          <w:b/>
          <w:bCs/>
          <w:kern w:val="0"/>
          <w:sz w:val="36"/>
          <w:szCs w:val="36"/>
          <w:lang w:val="en-US" w:eastAsia="zh-CN" w:bidi="ar"/>
        </w:rPr>
      </w:pPr>
      <w:r>
        <w:rPr>
          <w:rFonts w:hint="eastAsia" w:ascii="黑体" w:hAnsi="黑体" w:eastAsia="黑体" w:cs="黑体"/>
          <w:b/>
          <w:bCs/>
          <w:kern w:val="0"/>
          <w:sz w:val="36"/>
          <w:szCs w:val="36"/>
          <w:lang w:val="en-US" w:eastAsia="zh-CN" w:bidi="ar"/>
        </w:rPr>
        <w:t>Ai永州数字经济平台建设方案</w:t>
      </w:r>
    </w:p>
    <w:p w14:paraId="1BE6606C">
      <w:pPr>
        <w:widowControl/>
        <w:spacing w:line="35" w:lineRule="atLeast"/>
        <w:jc w:val="left"/>
        <w:rPr>
          <w:rFonts w:hint="eastAsia" w:ascii="仿宋" w:hAnsi="仿宋" w:eastAsia="仿宋" w:cs="仿宋"/>
          <w:color w:val="222222"/>
          <w:kern w:val="0"/>
          <w:sz w:val="28"/>
          <w:szCs w:val="28"/>
          <w:shd w:val="clear" w:color="auto" w:fill="FFFFFF"/>
          <w:lang w:val="en-US" w:eastAsia="zh-CN" w:bidi="ar"/>
        </w:rPr>
      </w:pPr>
    </w:p>
    <w:p w14:paraId="4A6C741F">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项目建设背景</w:t>
      </w:r>
    </w:p>
    <w:p w14:paraId="305C4220">
      <w:pPr>
        <w:pStyle w:val="2"/>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党的十八大以来，党中央国务院连续出台了针对数字中国</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数字经济</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数据要素等纲领性和指导性文件及要求，数字经济是国家战略选择，已成为中国发</w:t>
      </w:r>
      <w:bookmarkStart w:id="12" w:name="_GoBack"/>
      <w:bookmarkEnd w:id="12"/>
      <w:r>
        <w:rPr>
          <w:rFonts w:hint="eastAsia" w:ascii="仿宋" w:hAnsi="仿宋" w:eastAsia="仿宋" w:cs="仿宋"/>
          <w:color w:val="000000" w:themeColor="text1"/>
          <w:sz w:val="32"/>
          <w:szCs w:val="32"/>
          <w14:textFill>
            <w14:solidFill>
              <w14:schemeClr w14:val="tx1"/>
            </w14:solidFill>
          </w14:textFill>
        </w:rPr>
        <w:t>展的新动力和引擎。湖南省规划成为全国数字经济创新引领区、产业聚集区和应用先导区。在数字经济上升为国家战略，成为经济发展的重要引擎的宏观背景下，</w:t>
      </w:r>
      <w:r>
        <w:rPr>
          <w:rFonts w:hint="eastAsia" w:ascii="仿宋" w:hAnsi="仿宋" w:eastAsia="仿宋" w:cs="仿宋"/>
          <w:color w:val="000000" w:themeColor="text1"/>
          <w:sz w:val="32"/>
          <w:szCs w:val="32"/>
          <w:lang w:val="en-US" w:eastAsia="zh-CN"/>
          <w14:textFill>
            <w14:solidFill>
              <w14:schemeClr w14:val="tx1"/>
            </w14:solidFill>
          </w14:textFill>
        </w:rPr>
        <w:t>永</w:t>
      </w:r>
      <w:r>
        <w:rPr>
          <w:rFonts w:hint="eastAsia" w:ascii="仿宋" w:hAnsi="仿宋" w:eastAsia="仿宋" w:cs="仿宋"/>
          <w:color w:val="000000" w:themeColor="text1"/>
          <w:sz w:val="32"/>
          <w:szCs w:val="32"/>
          <w14:textFill>
            <w14:solidFill>
              <w14:schemeClr w14:val="tx1"/>
            </w14:solidFill>
          </w14:textFill>
        </w:rPr>
        <w:t>州亟需抓住数字经济发展时代机遇</w:t>
      </w:r>
      <w:r>
        <w:rPr>
          <w:rFonts w:hint="eastAsia" w:ascii="仿宋" w:hAnsi="仿宋" w:eastAsia="仿宋" w:cs="仿宋"/>
          <w:color w:val="000000" w:themeColor="text1"/>
          <w:sz w:val="32"/>
          <w:szCs w:val="32"/>
          <w:lang w:eastAsia="zh-CN"/>
          <w14:textFill>
            <w14:solidFill>
              <w14:schemeClr w14:val="tx1"/>
            </w14:solidFill>
          </w14:textFill>
        </w:rPr>
        <w:t>，永州市湘源数据科技有限公司</w:t>
      </w:r>
      <w:r>
        <w:rPr>
          <w:rFonts w:hint="eastAsia" w:ascii="仿宋" w:hAnsi="仿宋" w:eastAsia="仿宋" w:cs="仿宋"/>
          <w:color w:val="000000" w:themeColor="text1"/>
          <w:sz w:val="32"/>
          <w:szCs w:val="32"/>
          <w14:textFill>
            <w14:solidFill>
              <w14:schemeClr w14:val="tx1"/>
            </w14:solidFill>
          </w14:textFill>
        </w:rPr>
        <w:t>为发挥国有企业的示范引领作用，对</w:t>
      </w:r>
      <w:r>
        <w:rPr>
          <w:rFonts w:hint="eastAsia" w:ascii="仿宋" w:hAnsi="仿宋" w:eastAsia="仿宋" w:cs="仿宋"/>
          <w:color w:val="000000" w:themeColor="text1"/>
          <w:sz w:val="32"/>
          <w:szCs w:val="32"/>
          <w:lang w:val="en-US" w:eastAsia="zh-CN"/>
          <w14:textFill>
            <w14:solidFill>
              <w14:schemeClr w14:val="tx1"/>
            </w14:solidFill>
          </w14:textFill>
        </w:rPr>
        <w:t>永州市数字经济产业</w:t>
      </w:r>
      <w:r>
        <w:rPr>
          <w:rFonts w:hint="eastAsia" w:ascii="仿宋" w:hAnsi="仿宋" w:eastAsia="仿宋" w:cs="仿宋"/>
          <w:color w:val="000000" w:themeColor="text1"/>
          <w:sz w:val="32"/>
          <w:szCs w:val="32"/>
          <w14:textFill>
            <w14:solidFill>
              <w14:schemeClr w14:val="tx1"/>
            </w14:solidFill>
          </w14:textFill>
        </w:rPr>
        <w:t>进行统筹策划、建设和运营管理，推动永州</w:t>
      </w:r>
      <w:r>
        <w:rPr>
          <w:rFonts w:hint="eastAsia" w:ascii="仿宋" w:hAnsi="仿宋" w:eastAsia="仿宋" w:cs="仿宋"/>
          <w:color w:val="000000" w:themeColor="text1"/>
          <w:sz w:val="32"/>
          <w:szCs w:val="32"/>
          <w:lang w:eastAsia="zh-CN"/>
          <w14:textFill>
            <w14:solidFill>
              <w14:schemeClr w14:val="tx1"/>
            </w14:solidFill>
          </w14:textFill>
        </w:rPr>
        <w:t>数字经济产业</w:t>
      </w:r>
      <w:r>
        <w:rPr>
          <w:rFonts w:hint="eastAsia" w:ascii="仿宋" w:hAnsi="仿宋" w:eastAsia="仿宋" w:cs="仿宋"/>
          <w:color w:val="000000" w:themeColor="text1"/>
          <w:sz w:val="32"/>
          <w:szCs w:val="32"/>
          <w14:textFill>
            <w14:solidFill>
              <w14:schemeClr w14:val="tx1"/>
            </w14:solidFill>
          </w14:textFill>
        </w:rPr>
        <w:t>快速发展</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考察</w:t>
      </w:r>
      <w:r>
        <w:rPr>
          <w:rFonts w:hint="eastAsia" w:ascii="仿宋" w:hAnsi="仿宋" w:eastAsia="仿宋" w:cs="仿宋"/>
          <w:color w:val="000000" w:themeColor="text1"/>
          <w:sz w:val="32"/>
          <w:szCs w:val="32"/>
          <w14:textFill>
            <w14:solidFill>
              <w14:schemeClr w14:val="tx1"/>
            </w14:solidFill>
          </w14:textFill>
        </w:rPr>
        <w:t>借鉴国内其他城市的先进、成熟经验和做法，打造</w:t>
      </w:r>
      <w:r>
        <w:rPr>
          <w:rFonts w:hint="eastAsia" w:ascii="仿宋" w:hAnsi="仿宋" w:eastAsia="仿宋" w:cs="仿宋"/>
          <w:color w:val="000000" w:themeColor="text1"/>
          <w:sz w:val="32"/>
          <w:szCs w:val="32"/>
          <w:lang w:val="en-US" w:eastAsia="zh-CN"/>
          <w14:textFill>
            <w14:solidFill>
              <w14:schemeClr w14:val="tx1"/>
            </w14:solidFill>
          </w14:textFill>
        </w:rPr>
        <w:t>永</w:t>
      </w:r>
      <w:r>
        <w:rPr>
          <w:rFonts w:hint="eastAsia" w:ascii="仿宋" w:hAnsi="仿宋" w:eastAsia="仿宋" w:cs="仿宋"/>
          <w:color w:val="000000" w:themeColor="text1"/>
          <w:sz w:val="32"/>
          <w:szCs w:val="32"/>
          <w14:textFill>
            <w14:solidFill>
              <w14:schemeClr w14:val="tx1"/>
            </w14:solidFill>
          </w14:textFill>
        </w:rPr>
        <w:t>州数字经济基础设施，推进本地产业数字化转型及数字经济发展，落实中央和省政府的规划要求。</w:t>
      </w:r>
    </w:p>
    <w:p w14:paraId="0C9FE9B5">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项目总体规划要求</w:t>
      </w:r>
    </w:p>
    <w:p w14:paraId="74922924">
      <w:pPr>
        <w:pStyle w:val="2"/>
        <w:ind w:firstLine="640" w:firstLineChars="200"/>
        <w:rPr>
          <w:rFonts w:hint="eastAsia" w:ascii="仿宋" w:hAnsi="仿宋" w:eastAsia="仿宋" w:cstheme="minorBidi"/>
          <w:kern w:val="2"/>
          <w:sz w:val="32"/>
          <w:szCs w:val="32"/>
          <w:lang w:val="en-US" w:eastAsia="zh-Hans" w:bidi="ar-SA"/>
        </w:rPr>
      </w:pPr>
      <w:r>
        <w:rPr>
          <w:rFonts w:hint="eastAsia" w:ascii="仿宋" w:hAnsi="仿宋" w:eastAsia="仿宋" w:cstheme="minorBidi"/>
          <w:kern w:val="2"/>
          <w:sz w:val="32"/>
          <w:szCs w:val="32"/>
          <w:lang w:val="en-US" w:eastAsia="zh-CN" w:bidi="ar-SA"/>
        </w:rPr>
        <w:t>Ai永州数字经济平台项目遵循国家《深化智慧城市发展推进城市全域数字化转型的指导意见》战略布局，通过建设永州市数字经济平台，解决永州市资金回流、限下规下企业纳统、税收增长、数据流失问题，带动永州市GDP增长。本项目由一个城市全域数字化转型中枢平台及N个城市全域数字化转型应用场景组成。综合运用云计算、大数据、5G、人工智能、区块链、大模型等技术建设一套城市数字经济基础设施，围绕数字城市、数字经济、城市智能、感知城市等领域，以“共享共用、协同发展”为理念形成一套领先全国的数字经济智慧化服务供给和城市赋能机制。</w:t>
      </w:r>
    </w:p>
    <w:p w14:paraId="59F338D4">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项目建设目标</w:t>
      </w:r>
    </w:p>
    <w:p w14:paraId="36A4DBD6">
      <w:pPr>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bCs w:val="0"/>
          <w:sz w:val="28"/>
          <w:szCs w:val="28"/>
          <w:lang w:val="en-US" w:eastAsia="zh-Hans"/>
        </w:rPr>
      </w:pPr>
      <w:r>
        <w:rPr>
          <w:rFonts w:hint="eastAsia" w:ascii="仿宋" w:hAnsi="仿宋" w:eastAsia="仿宋"/>
          <w:sz w:val="32"/>
          <w:szCs w:val="32"/>
          <w:lang w:val="en-US" w:eastAsia="zh-CN"/>
        </w:rPr>
        <w:t>以“赋能产业、优化政务、改善民生、造血经济”为目标，坚持服务导向，围绕重构生产关系、服务关系、优化生产方式、提高生产力，以融合商务、民生、政务等三类数字服务为核心，构筑Ai永州数字经济平台，整合已有信息基础设施，通过市场方式推动产业互联互通、融合发展，创新数字经济模式，推动“有效市场、有为政府”更好结合形成发展合力，建立健全数字资源管理机制，打造全省乃至全国数字经济模式示范标杆。通过汇聚交易让资金、交易、税收回归本地，实现GDP总额、消费规模、产业产值明显提升，助力企业数字化转型，切实提升市民获得感。力争一年起步，三年内连接企业15万户，实现年度交易额达到200亿元，数字经济占GDP比重增加8%以上。</w:t>
      </w:r>
    </w:p>
    <w:p w14:paraId="1CDFC865">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项目建设需求</w:t>
      </w:r>
    </w:p>
    <w:p w14:paraId="158F52DF">
      <w:pPr>
        <w:pStyle w:val="4"/>
        <w:bidi w:val="0"/>
      </w:pPr>
      <w:r>
        <w:rPr>
          <w:rFonts w:hint="eastAsia" w:ascii="仿宋" w:hAnsi="仿宋" w:eastAsia="仿宋"/>
          <w:sz w:val="32"/>
          <w:szCs w:val="32"/>
          <w:lang w:val="en-US" w:eastAsia="zh-CN"/>
        </w:rPr>
        <w:t>城市全域数字化转型中枢平台</w:t>
      </w:r>
    </w:p>
    <w:p w14:paraId="3F84E5EA">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建设城市全域数字化转型中枢平台，充分发挥数据的基础资源和创新引擎作用，建立的核心管理和服务平台，全面提升城市数字化转型的整体性、系统性、协同性，以数据融通、开发利用，贯穿城市数字化转型规划、建设、管理、服务、运行的全过程。整合各类业务和数据资源，推动产业发展，提升城市管理和服务水平，促进经济社会的全面发展。</w:t>
      </w:r>
    </w:p>
    <w:p w14:paraId="20BE7F7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平台</w:t>
      </w:r>
      <w:r>
        <w:rPr>
          <w:rFonts w:hint="eastAsia" w:ascii="仿宋" w:hAnsi="仿宋" w:eastAsia="仿宋"/>
          <w:sz w:val="32"/>
          <w:szCs w:val="32"/>
        </w:rPr>
        <w:t>包括</w:t>
      </w:r>
      <w:r>
        <w:rPr>
          <w:rFonts w:hint="eastAsia" w:ascii="仿宋" w:hAnsi="仿宋" w:eastAsia="仿宋"/>
          <w:sz w:val="32"/>
          <w:szCs w:val="32"/>
          <w:lang w:val="en-US" w:eastAsia="zh-CN"/>
        </w:rPr>
        <w:t>城市数字经济共性支撑平台、城市数字经济大模型平台、城市数据要素流通交易平台、城市数字经济数据底座平台。</w:t>
      </w:r>
    </w:p>
    <w:p w14:paraId="4C101BD4">
      <w:pPr>
        <w:pStyle w:val="5"/>
        <w:bidi w:val="0"/>
        <w:rPr>
          <w:rFonts w:hint="eastAsia"/>
          <w:lang w:val="en-US" w:eastAsia="zh-CN"/>
        </w:rPr>
      </w:pPr>
      <w:r>
        <w:rPr>
          <w:rFonts w:hint="eastAsia" w:ascii="仿宋" w:hAnsi="仿宋" w:eastAsia="仿宋"/>
          <w:sz w:val="32"/>
          <w:szCs w:val="32"/>
          <w:lang w:val="en-US" w:eastAsia="zh-CN"/>
        </w:rPr>
        <w:t>城市数字经济共性支撑平台</w:t>
      </w:r>
    </w:p>
    <w:p w14:paraId="362932FE">
      <w:pPr>
        <w:pStyle w:val="6"/>
        <w:bidi w:val="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lang w:val="en-US" w:eastAsia="zh-CN"/>
        </w:rPr>
        <w:t>城市数字经济技术基础平台</w:t>
      </w:r>
    </w:p>
    <w:p w14:paraId="333451C2">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城市数字经济技术基础平台整合了软件框架、技术引擎、中间件等，形成通用技术组件，以支持城市数字化建设，避免重复开发。该平台提供开放的生态系统，增强技术支撑，促进部门间协同，减少信息化成本，提高效率，并通过智慧化手段实现城市统一管理。</w:t>
      </w:r>
    </w:p>
    <w:p w14:paraId="18ECA80C">
      <w:pPr>
        <w:pStyle w:val="6"/>
        <w:bidi w:val="0"/>
        <w:rPr>
          <w:rFonts w:hint="eastAsia"/>
          <w:lang w:val="en-US" w:eastAsia="zh-CN"/>
        </w:rPr>
      </w:pPr>
      <w:r>
        <w:rPr>
          <w:rFonts w:hint="eastAsia"/>
          <w:lang w:val="en-US" w:eastAsia="zh-CN"/>
        </w:rPr>
        <w:t>城市数字经济业务基础平台</w:t>
      </w:r>
    </w:p>
    <w:p w14:paraId="4D1C8181">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城市数字经济业务基础平台通过数字化映射解耦城市共性业务，确定业务规则和流程，以微服务和组件化快速响应前端应用需求，实现业务能力的快速调用和高效配置。该平台支持各产业、供应链和服务生态的业务组织和连接，通过提炼共性需求，形成组件化资源包，沉淀核心业务能力，并以接口形式提供给生态应用使用。</w:t>
      </w:r>
    </w:p>
    <w:p w14:paraId="77DCA6CD">
      <w:pPr>
        <w:pStyle w:val="6"/>
        <w:bidi w:val="0"/>
        <w:rPr>
          <w:rFonts w:hint="eastAsia"/>
          <w:lang w:val="en-US" w:eastAsia="zh-CN"/>
        </w:rPr>
      </w:pPr>
      <w:r>
        <w:rPr>
          <w:rFonts w:hint="eastAsia"/>
          <w:lang w:val="en-US" w:eastAsia="zh-CN"/>
        </w:rPr>
        <w:t>城市数字经济运营平台</w:t>
      </w:r>
    </w:p>
    <w:p w14:paraId="2926ED4B">
      <w:pPr>
        <w:pageBreakBefore w:val="0"/>
        <w:kinsoku/>
        <w:wordWrap/>
        <w:overflowPunct/>
        <w:topLinePunct w:val="0"/>
        <w:autoSpaceDE/>
        <w:autoSpaceDN/>
        <w:bidi w:val="0"/>
        <w:adjustRightInd/>
        <w:snapToGrid/>
        <w:spacing w:line="520" w:lineRule="exact"/>
        <w:ind w:firstLine="640" w:firstLineChars="200"/>
        <w:textAlignment w:val="auto"/>
        <w:rPr>
          <w:rFonts w:hint="eastAsia"/>
          <w:lang w:val="en-US" w:eastAsia="zh-CN"/>
        </w:rPr>
      </w:pPr>
      <w:r>
        <w:rPr>
          <w:rFonts w:hint="eastAsia" w:ascii="仿宋" w:hAnsi="仿宋" w:eastAsia="仿宋"/>
          <w:sz w:val="32"/>
          <w:szCs w:val="32"/>
          <w:lang w:val="en-US" w:eastAsia="zh-CN"/>
        </w:rPr>
        <w:t>城市数字经济运营平台通过统一调度和运营数字基础设施，促进数据整合和业务协同，消除数据孤岛，提升数据共享和利用效率。平台利用大数据和人工智能技术增强数据处理和分析能力。同时，完善业务运营需求管理体制，提高运营管理效率，优化用户体验和交互设计。此外，优化支付系统以全面覆盖和整合支付渠道，增强交易均衡性和订单处理能力。最后，加强行业数据采集和分析，提高对行业趋势的把握，提升智能化服务水平，更好地服务企业和消费者。</w:t>
      </w:r>
    </w:p>
    <w:p w14:paraId="688BB75F">
      <w:pPr>
        <w:pStyle w:val="6"/>
        <w:bidi w:val="0"/>
        <w:rPr>
          <w:rFonts w:hint="eastAsia"/>
          <w:lang w:val="en-US" w:eastAsia="zh-CN"/>
        </w:rPr>
      </w:pPr>
      <w:r>
        <w:rPr>
          <w:rFonts w:hint="eastAsia"/>
          <w:lang w:val="en-US" w:eastAsia="zh-CN"/>
        </w:rPr>
        <w:t>城市数字经济开发平台</w:t>
      </w:r>
    </w:p>
    <w:p w14:paraId="706E27A0">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城市数字经济开发平台支持全场景数字化，快速部署，集成外部系统，支持自主开发。用户可利用可视化工具构建数据模型、视图等，无需编译即可运行。平台提供表单、流程、报表管理等功能，采用拖拽方式搭建，加速城市数字化管理，提高效率，降低成本，助力数字永州一站式数字化建设。</w:t>
      </w:r>
    </w:p>
    <w:p w14:paraId="201C1680">
      <w:pPr>
        <w:pStyle w:val="6"/>
        <w:bidi w:val="0"/>
        <w:rPr>
          <w:rFonts w:hint="eastAsia"/>
          <w:lang w:val="en-US" w:eastAsia="zh-CN"/>
        </w:rPr>
      </w:pPr>
      <w:r>
        <w:rPr>
          <w:rFonts w:hint="eastAsia"/>
          <w:lang w:val="en-US" w:eastAsia="zh-CN"/>
        </w:rPr>
        <w:t>城市数字经济治理平台</w:t>
      </w:r>
    </w:p>
    <w:p w14:paraId="42124671">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城市数字经济治理平台旨在通过建立统一的数据架构和管理机制，消除部门间的数据壁垒，实现数据整合与共享。该平台将加强数据治理，提升数据质量和可信度，优化数据存储架构，并引入数据湖技术以增强数据处理和分析能力。此外，平台将促进数据共享和业务协同，提高数据应用服务能力，并建立数据运营和服务体系，以支持永州市数字经济的高质量发展。</w:t>
      </w:r>
    </w:p>
    <w:p w14:paraId="2436D2D8">
      <w:pPr>
        <w:pStyle w:val="6"/>
        <w:bidi w:val="0"/>
        <w:rPr>
          <w:rFonts w:hint="eastAsia"/>
          <w:lang w:val="en-US" w:eastAsia="zh-CN"/>
        </w:rPr>
      </w:pPr>
      <w:r>
        <w:rPr>
          <w:rFonts w:hint="eastAsia"/>
          <w:lang w:val="en-US" w:eastAsia="zh-CN"/>
        </w:rPr>
        <w:t>城市数字经济能力运营管控平台</w:t>
      </w:r>
    </w:p>
    <w:p w14:paraId="2452FFB9">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永州城市数字经济运营管控平台集中管理数字资源和应用，提升资源利用效率。平台支持快速接入和承载海量应用，增强城市数字化转型效能。为城市运营者提供便捷管理服务，优化数字服务体验，促进永州数字经济创新和发展，为经济增长提供新动力。</w:t>
      </w:r>
    </w:p>
    <w:p w14:paraId="3C639E24">
      <w:pPr>
        <w:pStyle w:val="6"/>
        <w:bidi w:val="0"/>
        <w:rPr>
          <w:rFonts w:hint="eastAsia"/>
          <w:lang w:val="en-US" w:eastAsia="zh-CN"/>
        </w:rPr>
      </w:pPr>
      <w:r>
        <w:rPr>
          <w:rFonts w:hint="eastAsia"/>
          <w:lang w:val="en-US" w:eastAsia="zh-CN"/>
        </w:rPr>
        <w:t>城市产业数字化赋能平台</w:t>
      </w:r>
    </w:p>
    <w:p w14:paraId="51755343">
      <w:pPr>
        <w:pageBreakBefore w:val="0"/>
        <w:kinsoku/>
        <w:wordWrap/>
        <w:overflowPunct/>
        <w:topLinePunct w:val="0"/>
        <w:autoSpaceDE/>
        <w:autoSpaceDN/>
        <w:bidi w:val="0"/>
        <w:adjustRightInd/>
        <w:snapToGrid/>
        <w:spacing w:line="520" w:lineRule="exact"/>
        <w:ind w:firstLine="640" w:firstLineChars="200"/>
        <w:textAlignment w:val="auto"/>
        <w:rPr>
          <w:rFonts w:hint="eastAsia" w:ascii="宋体" w:hAnsi="宋体" w:eastAsia="宋体" w:cs="宋体"/>
          <w:color w:val="000000"/>
          <w:sz w:val="24"/>
          <w:szCs w:val="24"/>
        </w:rPr>
      </w:pPr>
      <w:r>
        <w:rPr>
          <w:rFonts w:hint="eastAsia" w:ascii="仿宋" w:hAnsi="仿宋" w:eastAsia="仿宋"/>
          <w:sz w:val="32"/>
          <w:szCs w:val="32"/>
          <w:lang w:val="en-US" w:eastAsia="zh-CN"/>
        </w:rPr>
        <w:t>城市产业数字化赋能平台提供标准化的人力、财务、客户管理应用产品，满足企业数字化管理需求。针对行业特定环节，建立共性问题解决机制。同时，为不同规模企业定制小型、快速、轻量、精准的数字化解决方案，形成全面的数字化应用方案，推动企业资源整合和业务协同。</w:t>
      </w:r>
    </w:p>
    <w:p w14:paraId="72C54403">
      <w:pPr>
        <w:pStyle w:val="5"/>
        <w:bidi w:val="0"/>
        <w:rPr>
          <w:rFonts w:hint="eastAsia" w:ascii="仿宋" w:hAnsi="仿宋" w:eastAsia="仿宋"/>
          <w:sz w:val="32"/>
          <w:szCs w:val="32"/>
          <w:lang w:val="en-US" w:eastAsia="zh-CN"/>
        </w:rPr>
      </w:pPr>
      <w:r>
        <w:rPr>
          <w:rFonts w:hint="eastAsia" w:ascii="仿宋" w:hAnsi="仿宋" w:eastAsia="仿宋"/>
          <w:sz w:val="32"/>
          <w:szCs w:val="32"/>
          <w:lang w:val="en-US" w:eastAsia="zh-CN"/>
        </w:rPr>
        <w:t>城市数字经济大模型平台</w:t>
      </w:r>
    </w:p>
    <w:p w14:paraId="7DC8C3A7">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依托城市数字经济共性支撑平台，构建一个城市数字经济大模型平台，涵盖开发、训练、运行和运营。该平台以大模型为核心，提供从开发到运营的AI应用全流程服务，支持敏捷和个性化的AI赋能，实现端到端AI应用开发和运行。它旨在满足智能化需求，优化企业生产运营流程，提高效率。</w:t>
      </w:r>
    </w:p>
    <w:p w14:paraId="093A401F">
      <w:pPr>
        <w:pStyle w:val="5"/>
        <w:bidi w:val="0"/>
        <w:rPr>
          <w:rFonts w:hint="eastAsia" w:ascii="仿宋" w:hAnsi="仿宋" w:eastAsia="仿宋"/>
          <w:sz w:val="32"/>
          <w:szCs w:val="32"/>
          <w:lang w:val="en-US" w:eastAsia="zh-CN"/>
        </w:rPr>
      </w:pPr>
      <w:r>
        <w:rPr>
          <w:rFonts w:hint="eastAsia" w:ascii="仿宋" w:hAnsi="仿宋" w:eastAsia="仿宋"/>
          <w:sz w:val="32"/>
          <w:szCs w:val="32"/>
          <w:lang w:val="en-US" w:eastAsia="zh-CN"/>
        </w:rPr>
        <w:t>城市数据要素流通交易平台</w:t>
      </w:r>
    </w:p>
    <w:p w14:paraId="2899B94F">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城市数据要素流通交易平台提供一站式服务，包括数据登记、授权、加工、交付和合规审查等，支持与区域性和行业性数据交易场所互联互通，解决资源整合、开发效率、合规评估和监管溯源问题，推动数据资源的开发、利用和交易。</w:t>
      </w:r>
    </w:p>
    <w:p w14:paraId="35C2FE16">
      <w:pPr>
        <w:rPr>
          <w:rFonts w:hint="eastAsia"/>
          <w:lang w:val="en-US" w:eastAsia="zh-CN"/>
        </w:rPr>
      </w:pPr>
    </w:p>
    <w:p w14:paraId="0D469C7A">
      <w:pPr>
        <w:pStyle w:val="5"/>
        <w:bidi w:val="0"/>
        <w:rPr>
          <w:rFonts w:hint="eastAsia" w:ascii="仿宋" w:hAnsi="仿宋" w:eastAsia="仿宋"/>
          <w:sz w:val="32"/>
          <w:szCs w:val="32"/>
          <w:lang w:val="en-US" w:eastAsia="zh-CN"/>
        </w:rPr>
      </w:pPr>
      <w:r>
        <w:rPr>
          <w:rFonts w:hint="eastAsia" w:ascii="仿宋" w:hAnsi="仿宋" w:eastAsia="仿宋"/>
          <w:sz w:val="32"/>
          <w:szCs w:val="32"/>
          <w:lang w:val="en-US" w:eastAsia="zh-CN"/>
        </w:rPr>
        <w:t>城市数字经济数据底座平台</w:t>
      </w:r>
    </w:p>
    <w:p w14:paraId="468CA502">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城市数据基础设施平台构建城市级数据中台，实现数据采集、汇聚、实时更新，解决数据孤岛问题，确保数据质量和实时性。通过数据转换、加载、清洗和治理，提供数据汇集、治理、开发、资产和服务能力。整合政务、物联网、经济、事件等数据，统一数据标准和资源体系，完善公共和专题数据库。利用大数据技术，促进城市数据融合，支持上层应用的数据需求。</w:t>
      </w:r>
    </w:p>
    <w:p w14:paraId="06641FAA">
      <w:pPr>
        <w:pStyle w:val="4"/>
        <w:bidi w:val="0"/>
        <w:rPr>
          <w:rFonts w:hint="eastAsia" w:ascii="仿宋" w:hAnsi="仿宋" w:eastAsia="仿宋"/>
          <w:sz w:val="32"/>
          <w:szCs w:val="32"/>
          <w:lang w:val="en-US" w:eastAsia="zh-CN"/>
        </w:rPr>
      </w:pPr>
      <w:r>
        <w:rPr>
          <w:rFonts w:hint="eastAsia" w:ascii="仿宋" w:hAnsi="仿宋" w:eastAsia="仿宋"/>
          <w:sz w:val="32"/>
          <w:szCs w:val="32"/>
          <w:lang w:val="en-US" w:eastAsia="zh-CN"/>
        </w:rPr>
        <w:t>打造 N 个有永州特色全域数字化转型应用场景</w:t>
      </w:r>
    </w:p>
    <w:p w14:paraId="3C8A75D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项目通过不低于12个城市数字经济场景和行业运营，</w:t>
      </w:r>
      <w:r>
        <w:rPr>
          <w:rFonts w:hint="default" w:ascii="仿宋" w:hAnsi="仿宋" w:eastAsia="仿宋"/>
          <w:sz w:val="32"/>
          <w:szCs w:val="32"/>
          <w:lang w:val="en-US" w:eastAsia="zh-CN"/>
        </w:rPr>
        <w:t>建立城市</w:t>
      </w:r>
      <w:r>
        <w:rPr>
          <w:rFonts w:hint="eastAsia" w:ascii="仿宋" w:hAnsi="仿宋" w:eastAsia="仿宋"/>
          <w:sz w:val="32"/>
          <w:szCs w:val="32"/>
          <w:lang w:val="en-US" w:eastAsia="zh-CN"/>
        </w:rPr>
        <w:t>数字经济生态、</w:t>
      </w:r>
      <w:r>
        <w:rPr>
          <w:rFonts w:hint="default" w:ascii="仿宋" w:hAnsi="仿宋" w:eastAsia="仿宋"/>
          <w:sz w:val="32"/>
          <w:szCs w:val="32"/>
          <w:lang w:val="en-US" w:eastAsia="zh-CN"/>
        </w:rPr>
        <w:t>数据资源运营、设施运营、服务运营体系，探索新型政企合作伙伴机制，推动政府、企业、科研智库和金融机构等组建城市数字化运营生态圈，打造多元参与、供需对接、价值驱动的社会长效运营机制</w:t>
      </w:r>
      <w:r>
        <w:rPr>
          <w:rFonts w:hint="eastAsia" w:ascii="仿宋" w:hAnsi="仿宋" w:eastAsia="仿宋"/>
          <w:sz w:val="32"/>
          <w:szCs w:val="32"/>
          <w:lang w:val="en-US" w:eastAsia="zh-CN"/>
        </w:rPr>
        <w:t>，包括以下产业服务：</w:t>
      </w:r>
    </w:p>
    <w:p w14:paraId="3FAAEA28">
      <w:pPr>
        <w:pStyle w:val="6"/>
        <w:bidi w:val="0"/>
        <w:rPr>
          <w:rFonts w:hint="eastAsia"/>
          <w:lang w:val="en-US" w:eastAsia="zh-CN"/>
        </w:rPr>
      </w:pPr>
      <w:r>
        <w:rPr>
          <w:rFonts w:hint="eastAsia"/>
          <w:lang w:val="en-US" w:eastAsia="zh-CN"/>
        </w:rPr>
        <w:t>Ai永州数字经济 App:</w:t>
      </w:r>
    </w:p>
    <w:p w14:paraId="639C8FCA">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构建以生活、办事、就业为核心的服务平台，涵盖外卖、打车、特产购物、团购、交通、医疗、养老、社区服务、政务服务、招聘和地方能人引领等业务领域。</w:t>
      </w:r>
    </w:p>
    <w:p w14:paraId="3FBA0CE2">
      <w:pPr>
        <w:pStyle w:val="6"/>
        <w:bidi w:val="0"/>
        <w:rPr>
          <w:rFonts w:hint="eastAsia"/>
          <w:lang w:val="en-US" w:eastAsia="zh-CN"/>
        </w:rPr>
      </w:pPr>
      <w:r>
        <w:rPr>
          <w:rFonts w:hint="eastAsia"/>
          <w:lang w:val="en-US" w:eastAsia="zh-CN"/>
        </w:rPr>
        <w:t>“数据要素 X”数字化市场运营服务：</w:t>
      </w:r>
    </w:p>
    <w:p w14:paraId="4CC3C27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整合各类市场渠道，为本地企业提供引流和订单服务，降低渠道佣金，利用人工智能提供智慧市场服务。</w:t>
      </w:r>
    </w:p>
    <w:p w14:paraId="0B679716">
      <w:pPr>
        <w:pStyle w:val="6"/>
        <w:bidi w:val="0"/>
        <w:rPr>
          <w:rFonts w:hint="eastAsia"/>
          <w:lang w:val="en-US" w:eastAsia="zh-CN"/>
        </w:rPr>
      </w:pPr>
      <w:r>
        <w:rPr>
          <w:rFonts w:hint="eastAsia"/>
          <w:lang w:val="en-US" w:eastAsia="zh-CN"/>
        </w:rPr>
        <w:t>“数据要素 X”</w:t>
      </w:r>
      <w:r>
        <w:rPr>
          <w:rFonts w:hint="default"/>
          <w:lang w:val="en-US" w:eastAsia="zh-CN"/>
        </w:rPr>
        <w:t>支付产业数字化服务</w:t>
      </w:r>
      <w:r>
        <w:rPr>
          <w:rFonts w:hint="eastAsia"/>
          <w:lang w:val="en-US" w:eastAsia="zh-CN"/>
        </w:rPr>
        <w:t>：</w:t>
      </w:r>
    </w:p>
    <w:p w14:paraId="6D0E1519">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与本地银行合作，整合支付宝、微信、数字人民币等支付通道，实现互联互通。依托人工智能，推动可信身份认证、数据共享、数字支付，实现“永州一码付”，集中本地资金和数据，降低企业交易成本。</w:t>
      </w:r>
    </w:p>
    <w:p w14:paraId="16D98691">
      <w:pPr>
        <w:pStyle w:val="6"/>
        <w:bidi w:val="0"/>
        <w:rPr>
          <w:rFonts w:hint="eastAsia"/>
          <w:lang w:val="en-US" w:eastAsia="zh-CN"/>
        </w:rPr>
      </w:pPr>
      <w:r>
        <w:rPr>
          <w:rFonts w:hint="eastAsia"/>
          <w:lang w:val="en-US" w:eastAsia="zh-CN"/>
        </w:rPr>
        <w:t>“数据要素 X”社区服务数字化服务：</w:t>
      </w:r>
    </w:p>
    <w:p w14:paraId="47F22F7D">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建立基于人工智能的社区服务体系，实现群众需求点单、社区街道派单、全员接单的模式。</w:t>
      </w:r>
    </w:p>
    <w:p w14:paraId="20E1AE00">
      <w:pPr>
        <w:pStyle w:val="6"/>
        <w:bidi w:val="0"/>
        <w:rPr>
          <w:rFonts w:hint="eastAsia"/>
          <w:lang w:val="en-US" w:eastAsia="zh-CN"/>
        </w:rPr>
      </w:pPr>
      <w:r>
        <w:rPr>
          <w:rFonts w:hint="eastAsia"/>
          <w:lang w:val="en-US" w:eastAsia="zh-CN"/>
        </w:rPr>
        <w:t>“数据要素 X”</w:t>
      </w:r>
      <w:r>
        <w:rPr>
          <w:rFonts w:hint="default"/>
          <w:lang w:val="en-US" w:eastAsia="zh-CN"/>
        </w:rPr>
        <w:t>成品油一体化监管服务</w:t>
      </w:r>
      <w:r>
        <w:rPr>
          <w:rFonts w:hint="eastAsia"/>
          <w:lang w:val="en-US" w:eastAsia="zh-CN"/>
        </w:rPr>
        <w:t>：</w:t>
      </w:r>
    </w:p>
    <w:p w14:paraId="2E4A1444">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建立成品油监管服务系统，完善市场台账体系，确保销售数据真实，利用人工智能推动市场交易的公平性。</w:t>
      </w:r>
    </w:p>
    <w:p w14:paraId="24584F71">
      <w:pPr>
        <w:pStyle w:val="6"/>
        <w:bidi w:val="0"/>
        <w:rPr>
          <w:rFonts w:hint="default"/>
          <w:lang w:val="en-US" w:eastAsia="zh-CN"/>
        </w:rPr>
      </w:pPr>
      <w:r>
        <w:rPr>
          <w:rFonts w:hint="eastAsia"/>
          <w:lang w:val="en-US" w:eastAsia="zh-CN"/>
        </w:rPr>
        <w:t>“</w:t>
      </w:r>
      <w:r>
        <w:rPr>
          <w:rFonts w:hint="default"/>
          <w:lang w:val="en-US" w:eastAsia="zh-CN"/>
        </w:rPr>
        <w:t>数据要素</w:t>
      </w:r>
      <w:r>
        <w:rPr>
          <w:rFonts w:hint="eastAsia"/>
          <w:lang w:val="en-US" w:eastAsia="zh-CN"/>
        </w:rPr>
        <w:t>X”</w:t>
      </w:r>
      <w:r>
        <w:rPr>
          <w:rFonts w:hint="default"/>
          <w:lang w:val="en-US" w:eastAsia="zh-CN"/>
        </w:rPr>
        <w:t>餐饮产业数字化服务</w:t>
      </w:r>
      <w:r>
        <w:rPr>
          <w:rFonts w:hint="eastAsia"/>
          <w:lang w:val="en-US" w:eastAsia="zh-CN"/>
        </w:rPr>
        <w:t>：</w:t>
      </w:r>
    </w:p>
    <w:p w14:paraId="748BFDB5">
      <w:pPr>
        <w:pageBreakBefore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sz w:val="32"/>
          <w:szCs w:val="32"/>
          <w:lang w:val="en-US" w:eastAsia="zh-CN"/>
        </w:rPr>
      </w:pPr>
      <w:r>
        <w:rPr>
          <w:rFonts w:hint="eastAsia" w:ascii="仿宋" w:hAnsi="仿宋" w:eastAsia="仿宋"/>
          <w:sz w:val="32"/>
          <w:szCs w:val="32"/>
          <w:lang w:val="en-US" w:eastAsia="zh-CN"/>
        </w:rPr>
        <w:t>为满足餐饮业发展，开发集监管、经营、销售于一体的数字化平台，创建本地外卖和团购服务，提供给本地商家使用。利用人工智能和大数据分析，提高行业收益，减少中小餐饮企业数字化转型的费用。</w:t>
      </w:r>
    </w:p>
    <w:p w14:paraId="624A79C4">
      <w:pPr>
        <w:pStyle w:val="6"/>
        <w:bidi w:val="0"/>
        <w:rPr>
          <w:rFonts w:hint="eastAsia"/>
          <w:lang w:val="en-US" w:eastAsia="zh-CN"/>
        </w:rPr>
      </w:pPr>
      <w:r>
        <w:rPr>
          <w:rFonts w:hint="eastAsia"/>
          <w:lang w:val="en-US" w:eastAsia="zh-CN"/>
        </w:rPr>
        <w:t>“数据要素 X”零售产业数字化服务：</w:t>
      </w:r>
    </w:p>
    <w:p w14:paraId="115164C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构建基于人工智能的零售数字化系统，本地零售企业通过批发商和制造企业采购商品，利用快递物流将商品送达卖场进行分销。同时，金融机构依据企业的税务、贷款和销售数据，提供收单和助贷服务。</w:t>
      </w:r>
    </w:p>
    <w:p w14:paraId="2C279FE2">
      <w:pPr>
        <w:pStyle w:val="6"/>
        <w:bidi w:val="0"/>
        <w:rPr>
          <w:rFonts w:hint="eastAsia"/>
          <w:lang w:val="en-US" w:eastAsia="zh-CN"/>
        </w:rPr>
      </w:pPr>
      <w:r>
        <w:rPr>
          <w:rFonts w:hint="eastAsia"/>
          <w:lang w:val="en-US" w:eastAsia="zh-CN"/>
        </w:rPr>
        <w:t>“</w:t>
      </w:r>
      <w:r>
        <w:rPr>
          <w:rFonts w:hint="default"/>
          <w:lang w:val="en-US" w:eastAsia="zh-CN"/>
        </w:rPr>
        <w:t>数据要素</w:t>
      </w:r>
      <w:r>
        <w:rPr>
          <w:rFonts w:hint="eastAsia"/>
          <w:lang w:val="en-US" w:eastAsia="zh-CN"/>
        </w:rPr>
        <w:t>X”</w:t>
      </w:r>
      <w:r>
        <w:rPr>
          <w:rFonts w:hint="default"/>
          <w:lang w:val="en-US" w:eastAsia="zh-CN"/>
        </w:rPr>
        <w:t>景区产业数字化服务</w:t>
      </w:r>
      <w:r>
        <w:rPr>
          <w:rFonts w:hint="eastAsia"/>
          <w:lang w:val="en-US" w:eastAsia="zh-CN"/>
        </w:rPr>
        <w:t>:</w:t>
      </w:r>
    </w:p>
    <w:p w14:paraId="6D096E28">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实现互联网销售渠道的整合，统一线下收单，推动景区全面数字化交易。整合旅游资源，通过共享旅游产品促进酒店、餐饮和土特产等业务的共同发展。利用人工智能提供运营支持、金融服务、行业咨询和旅游商品销售等增值服务，以促进旅游业的整体发展。</w:t>
      </w:r>
    </w:p>
    <w:p w14:paraId="2C46C031">
      <w:pPr>
        <w:pStyle w:val="6"/>
        <w:bidi w:val="0"/>
        <w:rPr>
          <w:rFonts w:hint="eastAsia"/>
          <w:lang w:val="en-US" w:eastAsia="zh-CN"/>
        </w:rPr>
      </w:pPr>
      <w:r>
        <w:rPr>
          <w:rFonts w:hint="eastAsia"/>
          <w:lang w:val="en-US" w:eastAsia="zh-CN"/>
        </w:rPr>
        <w:t>“</w:t>
      </w:r>
      <w:r>
        <w:rPr>
          <w:rFonts w:hint="default"/>
          <w:lang w:val="en-US" w:eastAsia="zh-CN"/>
        </w:rPr>
        <w:t>数据要素</w:t>
      </w:r>
      <w:r>
        <w:rPr>
          <w:rFonts w:hint="eastAsia"/>
          <w:lang w:val="en-US" w:eastAsia="zh-CN"/>
        </w:rPr>
        <w:t>X”</w:t>
      </w:r>
      <w:r>
        <w:rPr>
          <w:rFonts w:hint="default"/>
          <w:lang w:val="en-US" w:eastAsia="zh-CN"/>
        </w:rPr>
        <w:t>住宿产业数字化服务</w:t>
      </w:r>
      <w:r>
        <w:rPr>
          <w:rFonts w:hint="eastAsia"/>
          <w:lang w:val="en-US" w:eastAsia="zh-CN"/>
        </w:rPr>
        <w:t>：</w:t>
      </w:r>
    </w:p>
    <w:p w14:paraId="73DA3988">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为住宿企业提供多渠道销售，实现与销售渠道的互联互通和数字化交易。利用数字化工具和人工智能，提供代运营、创新金融、行业研究咨询和旅游商品组合销售等增值服务。</w:t>
      </w:r>
    </w:p>
    <w:p w14:paraId="76BC1290">
      <w:pPr>
        <w:pStyle w:val="6"/>
        <w:bidi w:val="0"/>
        <w:rPr>
          <w:rFonts w:hint="eastAsia"/>
          <w:lang w:val="en-US" w:eastAsia="zh-CN"/>
        </w:rPr>
      </w:pPr>
      <w:r>
        <w:rPr>
          <w:rFonts w:hint="eastAsia"/>
          <w:lang w:val="en-US" w:eastAsia="zh-CN"/>
        </w:rPr>
        <w:t>“</w:t>
      </w:r>
      <w:r>
        <w:rPr>
          <w:rFonts w:hint="default"/>
          <w:lang w:val="en-US" w:eastAsia="zh-CN"/>
        </w:rPr>
        <w:t>数据要素</w:t>
      </w:r>
      <w:r>
        <w:rPr>
          <w:rFonts w:hint="eastAsia"/>
          <w:lang w:val="en-US" w:eastAsia="zh-CN"/>
        </w:rPr>
        <w:t>X”</w:t>
      </w:r>
      <w:r>
        <w:rPr>
          <w:rFonts w:hint="default"/>
          <w:lang w:val="en-US" w:eastAsia="zh-CN"/>
        </w:rPr>
        <w:t>交通产业数字化服务</w:t>
      </w:r>
      <w:r>
        <w:rPr>
          <w:rFonts w:hint="eastAsia"/>
          <w:lang w:val="en-US" w:eastAsia="zh-CN"/>
        </w:rPr>
        <w:t>：</w:t>
      </w:r>
    </w:p>
    <w:p w14:paraId="05B99A1F">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创建本地出行服务平台，整合交通服务信息、交易和行为数据，利用人工智能提供用车、停车、车位共享等服务；同时为交通服务提供政策支持和补贴服务。</w:t>
      </w:r>
    </w:p>
    <w:p w14:paraId="5078FF9C">
      <w:pPr>
        <w:pStyle w:val="6"/>
        <w:bidi w:val="0"/>
        <w:rPr>
          <w:rFonts w:hint="eastAsia"/>
          <w:lang w:val="en-US" w:eastAsia="zh-CN"/>
        </w:rPr>
      </w:pPr>
      <w:r>
        <w:rPr>
          <w:rFonts w:hint="eastAsia"/>
          <w:lang w:val="en-US" w:eastAsia="zh-CN"/>
        </w:rPr>
        <w:t>“数据要素 X”普惠金融产业数字化服务:</w:t>
      </w:r>
    </w:p>
    <w:p w14:paraId="2DD79274">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建立本地资金回流机制，合作金融机构，推广本地支付工具“一码付”，为商户提供支付服务。利用大数据、AI、区块链技术，分析交易数据，建立风险识别和信用评估模型。创建“银企对接广场”，为小微企业提供金融服务。</w:t>
      </w:r>
    </w:p>
    <w:p w14:paraId="5AD4DEED">
      <w:pPr>
        <w:pStyle w:val="6"/>
        <w:bidi w:val="0"/>
        <w:rPr>
          <w:rFonts w:hint="eastAsia"/>
          <w:lang w:val="en-US" w:eastAsia="zh-CN"/>
        </w:rPr>
      </w:pPr>
      <w:r>
        <w:rPr>
          <w:rFonts w:hint="eastAsia"/>
          <w:lang w:val="en-US" w:eastAsia="zh-CN"/>
        </w:rPr>
        <w:t>数字经济驾驶舱:</w:t>
      </w:r>
    </w:p>
    <w:p w14:paraId="492E2213">
      <w:pPr>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bCs w:val="0"/>
          <w:sz w:val="28"/>
          <w:szCs w:val="28"/>
          <w:lang w:val="en-US" w:eastAsia="zh-Hans"/>
        </w:rPr>
      </w:pPr>
      <w:r>
        <w:rPr>
          <w:rFonts w:hint="eastAsia" w:ascii="仿宋" w:hAnsi="仿宋" w:eastAsia="仿宋"/>
          <w:sz w:val="32"/>
          <w:szCs w:val="32"/>
          <w:lang w:val="en-US" w:eastAsia="zh-CN"/>
        </w:rPr>
        <w:t>建立一个全面的数字经济监控系统，实现对全市经济、产业和企业动态的实时监测、预警和预测，以提高经济分析效率，增强产业调控和企业服务的精确性，实现经济发展的集中监测、快速响应和统一调度，促进经济管理的数字化和创新。</w:t>
      </w:r>
    </w:p>
    <w:p w14:paraId="171CCFE9">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接口对接要求</w:t>
      </w:r>
    </w:p>
    <w:p w14:paraId="237EB68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系统建设过程中需与其他系统进行接口对接，对接系统包含且不限于短信平台、支付系统、</w:t>
      </w:r>
      <w:r>
        <w:rPr>
          <w:rFonts w:hint="eastAsia" w:ascii="仿宋" w:hAnsi="仿宋" w:eastAsia="仿宋"/>
          <w:sz w:val="32"/>
          <w:szCs w:val="32"/>
          <w:lang w:val="en-US" w:eastAsia="zh-Hans"/>
        </w:rPr>
        <w:t>一体化在线政务平台</w:t>
      </w:r>
      <w:r>
        <w:rPr>
          <w:rFonts w:hint="eastAsia" w:ascii="仿宋" w:hAnsi="仿宋" w:eastAsia="仿宋"/>
          <w:sz w:val="32"/>
          <w:szCs w:val="32"/>
          <w:lang w:val="en-US" w:eastAsia="zh-CN"/>
        </w:rPr>
        <w:t>、</w:t>
      </w:r>
      <w:r>
        <w:rPr>
          <w:rFonts w:hint="eastAsia" w:ascii="仿宋" w:hAnsi="仿宋" w:eastAsia="仿宋"/>
          <w:sz w:val="32"/>
          <w:szCs w:val="32"/>
          <w:lang w:val="en-US" w:eastAsia="zh-Hans"/>
        </w:rPr>
        <w:t>政务数据共享交换平台</w:t>
      </w:r>
      <w:r>
        <w:rPr>
          <w:rFonts w:hint="eastAsia" w:ascii="仿宋" w:hAnsi="仿宋" w:eastAsia="仿宋"/>
          <w:sz w:val="32"/>
          <w:szCs w:val="32"/>
          <w:lang w:val="en-US" w:eastAsia="zh-CN"/>
        </w:rPr>
        <w:t>、第三方机构系统，接口标准</w:t>
      </w:r>
      <w:r>
        <w:rPr>
          <w:rFonts w:hint="eastAsia" w:ascii="仿宋" w:hAnsi="仿宋" w:eastAsia="仿宋"/>
          <w:sz w:val="32"/>
          <w:szCs w:val="32"/>
          <w:lang w:val="en-US" w:eastAsia="zh-Hans"/>
        </w:rPr>
        <w:t>由</w:t>
      </w:r>
      <w:r>
        <w:rPr>
          <w:rFonts w:hint="eastAsia" w:ascii="仿宋" w:hAnsi="仿宋" w:eastAsia="仿宋"/>
          <w:sz w:val="32"/>
          <w:szCs w:val="32"/>
          <w:lang w:val="en-US" w:eastAsia="zh-CN"/>
        </w:rPr>
        <w:t>建设方及承建方共同商定。</w:t>
      </w:r>
    </w:p>
    <w:p w14:paraId="1B7F4843">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与上述系统对接产生的接口费用需包含在投标方总体报价中。同时，招商响应人需明确承诺，在本项目免费运维期内免费支撑系统新增接口需求和对外部系统提供接口服务，不再额外收取费用。</w:t>
      </w:r>
    </w:p>
    <w:p w14:paraId="2C76E210">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短信平台：数字经济平台系统需对接短信平台，在指定的业务节点完成短信的发送功能。</w:t>
      </w:r>
    </w:p>
    <w:p w14:paraId="4E2D0CFC">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支付系统：数字经济平台</w:t>
      </w:r>
      <w:r>
        <w:rPr>
          <w:rFonts w:hint="eastAsia" w:ascii="仿宋" w:hAnsi="仿宋" w:eastAsia="仿宋"/>
          <w:sz w:val="32"/>
          <w:szCs w:val="32"/>
          <w:lang w:val="en-US" w:eastAsia="zh-Hans"/>
        </w:rPr>
        <w:t>系统的支付中心</w:t>
      </w:r>
      <w:r>
        <w:rPr>
          <w:rFonts w:hint="eastAsia" w:ascii="仿宋" w:hAnsi="仿宋" w:eastAsia="仿宋"/>
          <w:sz w:val="32"/>
          <w:szCs w:val="32"/>
          <w:lang w:val="en-US" w:eastAsia="zh-CN"/>
        </w:rPr>
        <w:t>需对接本地银行</w:t>
      </w:r>
      <w:r>
        <w:rPr>
          <w:rFonts w:hint="eastAsia" w:ascii="仿宋" w:hAnsi="仿宋" w:eastAsia="仿宋"/>
          <w:sz w:val="32"/>
          <w:szCs w:val="32"/>
          <w:lang w:val="en-US" w:eastAsia="zh-Hans"/>
        </w:rPr>
        <w:t>支付，打通支付通道</w:t>
      </w:r>
      <w:r>
        <w:rPr>
          <w:rFonts w:hint="eastAsia" w:ascii="仿宋" w:hAnsi="仿宋" w:eastAsia="仿宋"/>
          <w:sz w:val="32"/>
          <w:szCs w:val="32"/>
          <w:lang w:val="en-US" w:eastAsia="zh-CN"/>
        </w:rPr>
        <w:t>。</w:t>
      </w:r>
    </w:p>
    <w:p w14:paraId="2FB7A36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Hans"/>
        </w:rPr>
        <w:t>一体化在线政务平台</w:t>
      </w:r>
      <w:r>
        <w:rPr>
          <w:rFonts w:hint="eastAsia" w:ascii="仿宋" w:hAnsi="仿宋" w:eastAsia="仿宋"/>
          <w:sz w:val="32"/>
          <w:szCs w:val="32"/>
          <w:lang w:val="en-US" w:eastAsia="zh-CN"/>
        </w:rPr>
        <w:t>：数字经济平台</w:t>
      </w:r>
      <w:r>
        <w:rPr>
          <w:rFonts w:hint="eastAsia" w:ascii="仿宋" w:hAnsi="仿宋" w:eastAsia="仿宋"/>
          <w:sz w:val="32"/>
          <w:szCs w:val="32"/>
          <w:lang w:val="en-US" w:eastAsia="zh-Hans"/>
        </w:rPr>
        <w:t>系统需要打通政务事项办理，为各经济板块赋能</w:t>
      </w:r>
      <w:r>
        <w:rPr>
          <w:rFonts w:hint="eastAsia" w:ascii="仿宋" w:hAnsi="仿宋" w:eastAsia="仿宋"/>
          <w:sz w:val="32"/>
          <w:szCs w:val="32"/>
          <w:lang w:val="en-US" w:eastAsia="zh-CN"/>
        </w:rPr>
        <w:t>。</w:t>
      </w:r>
    </w:p>
    <w:p w14:paraId="795B28ED">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Hans"/>
        </w:rPr>
        <w:t>政务数据共享交换平台</w:t>
      </w:r>
      <w:r>
        <w:rPr>
          <w:rFonts w:hint="eastAsia" w:ascii="仿宋" w:hAnsi="仿宋" w:eastAsia="仿宋"/>
          <w:sz w:val="32"/>
          <w:szCs w:val="32"/>
          <w:lang w:val="en-US" w:eastAsia="zh-CN"/>
        </w:rPr>
        <w:t>：数字经济平台</w:t>
      </w:r>
      <w:r>
        <w:rPr>
          <w:rFonts w:hint="eastAsia" w:ascii="仿宋" w:hAnsi="仿宋" w:eastAsia="仿宋"/>
          <w:sz w:val="32"/>
          <w:szCs w:val="32"/>
          <w:lang w:val="en-US" w:eastAsia="zh-Hans"/>
        </w:rPr>
        <w:t>系统需要打通政务数据共享交换接口，为各经济板块赋能</w:t>
      </w:r>
      <w:r>
        <w:rPr>
          <w:rFonts w:hint="eastAsia" w:ascii="仿宋" w:hAnsi="仿宋" w:eastAsia="仿宋"/>
          <w:sz w:val="32"/>
          <w:szCs w:val="32"/>
          <w:lang w:val="en-US" w:eastAsia="zh-CN"/>
        </w:rPr>
        <w:t>。</w:t>
      </w:r>
    </w:p>
    <w:p w14:paraId="0DF081FE">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第三方机构系统：预留与第三方系统的接口，待条件具备时，对接其</w:t>
      </w:r>
      <w:r>
        <w:rPr>
          <w:rFonts w:hint="eastAsia" w:ascii="仿宋" w:hAnsi="仿宋" w:eastAsia="仿宋"/>
          <w:sz w:val="32"/>
          <w:szCs w:val="32"/>
          <w:lang w:val="en-US" w:eastAsia="zh-Hans"/>
        </w:rPr>
        <w:t>第三方系统的</w:t>
      </w:r>
      <w:r>
        <w:rPr>
          <w:rFonts w:hint="eastAsia" w:ascii="仿宋" w:hAnsi="仿宋" w:eastAsia="仿宋"/>
          <w:sz w:val="32"/>
          <w:szCs w:val="32"/>
          <w:lang w:val="en-US" w:eastAsia="zh-CN"/>
        </w:rPr>
        <w:t>数据或</w:t>
      </w:r>
      <w:r>
        <w:rPr>
          <w:rFonts w:hint="eastAsia" w:ascii="仿宋" w:hAnsi="仿宋" w:eastAsia="仿宋"/>
          <w:sz w:val="32"/>
          <w:szCs w:val="32"/>
          <w:lang w:val="en-US" w:eastAsia="zh-Hans"/>
        </w:rPr>
        <w:t>业务能力</w:t>
      </w:r>
      <w:r>
        <w:rPr>
          <w:rFonts w:hint="eastAsia" w:ascii="仿宋" w:hAnsi="仿宋" w:eastAsia="仿宋"/>
          <w:sz w:val="32"/>
          <w:szCs w:val="32"/>
          <w:lang w:val="en-US" w:eastAsia="zh-CN"/>
        </w:rPr>
        <w:t>服务。</w:t>
      </w:r>
    </w:p>
    <w:p w14:paraId="23F8ED73">
      <w:pPr>
        <w:pageBreakBefore w:val="0"/>
        <w:kinsoku/>
        <w:wordWrap/>
        <w:overflowPunct/>
        <w:topLinePunct w:val="0"/>
        <w:autoSpaceDE/>
        <w:autoSpaceDN/>
        <w:bidi w:val="0"/>
        <w:adjustRightInd/>
        <w:snapToGrid/>
        <w:spacing w:line="520" w:lineRule="exact"/>
        <w:ind w:firstLine="640" w:firstLineChars="200"/>
        <w:textAlignment w:val="auto"/>
        <w:rPr>
          <w:rFonts w:hint="default"/>
          <w:lang w:val="en-US" w:eastAsia="zh-CN"/>
        </w:rPr>
      </w:pPr>
      <w:r>
        <w:rPr>
          <w:rFonts w:hint="eastAsia" w:ascii="仿宋" w:hAnsi="仿宋" w:eastAsia="仿宋"/>
          <w:sz w:val="32"/>
          <w:szCs w:val="32"/>
          <w:lang w:val="en-US" w:eastAsia="zh-CN"/>
        </w:rPr>
        <w:t>互联网渠道系统：数字经济平台</w:t>
      </w:r>
      <w:r>
        <w:rPr>
          <w:rFonts w:hint="eastAsia" w:ascii="仿宋" w:hAnsi="仿宋" w:eastAsia="仿宋"/>
          <w:sz w:val="32"/>
          <w:szCs w:val="32"/>
          <w:lang w:val="en-US" w:eastAsia="zh-Hans"/>
        </w:rPr>
        <w:t>系统需要打通</w:t>
      </w:r>
      <w:r>
        <w:rPr>
          <w:rFonts w:hint="eastAsia" w:ascii="仿宋" w:hAnsi="仿宋" w:eastAsia="仿宋"/>
          <w:sz w:val="32"/>
          <w:szCs w:val="32"/>
          <w:lang w:val="en-US" w:eastAsia="zh-CN"/>
        </w:rPr>
        <w:t>互联网厂商（例如：携程、美团、高德、同程等）</w:t>
      </w:r>
      <w:r>
        <w:rPr>
          <w:rFonts w:hint="eastAsia" w:ascii="仿宋" w:hAnsi="仿宋" w:eastAsia="仿宋"/>
          <w:sz w:val="32"/>
          <w:szCs w:val="32"/>
          <w:lang w:val="en-US" w:eastAsia="zh-Hans"/>
        </w:rPr>
        <w:t>接口，为</w:t>
      </w:r>
      <w:r>
        <w:rPr>
          <w:rFonts w:hint="eastAsia" w:ascii="仿宋" w:hAnsi="仿宋" w:eastAsia="仿宋"/>
          <w:sz w:val="32"/>
          <w:szCs w:val="32"/>
          <w:lang w:val="en-US" w:eastAsia="zh-CN"/>
        </w:rPr>
        <w:t>永州本地市场主体开拓市场销售渠道。</w:t>
      </w:r>
    </w:p>
    <w:p w14:paraId="76217898">
      <w:pPr>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bCs w:val="0"/>
          <w:sz w:val="28"/>
          <w:szCs w:val="28"/>
          <w:lang w:val="en-US" w:eastAsia="zh-Hans"/>
        </w:rPr>
      </w:pPr>
      <w:r>
        <w:rPr>
          <w:rFonts w:hint="eastAsia" w:ascii="仿宋" w:hAnsi="仿宋" w:eastAsia="仿宋"/>
          <w:sz w:val="32"/>
          <w:szCs w:val="32"/>
          <w:lang w:val="en-US" w:eastAsia="zh-CN"/>
        </w:rPr>
        <w:t>上述第三方机构提供服务产生的费用不包含在本次项目的报价中。</w:t>
      </w:r>
    </w:p>
    <w:p w14:paraId="672065AA">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default"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关键指标要求</w:t>
      </w:r>
    </w:p>
    <w:p w14:paraId="1306CE95">
      <w:pPr>
        <w:pStyle w:val="5"/>
        <w:numPr>
          <w:ilvl w:val="2"/>
          <w:numId w:val="0"/>
        </w:numPr>
        <w:jc w:val="left"/>
        <w:rPr>
          <w:rFonts w:ascii="宋体" w:hAnsi="宋体" w:eastAsia="宋体" w:cs="宋体"/>
          <w:b/>
          <w:bCs w:val="0"/>
          <w:color w:val="000000"/>
          <w:szCs w:val="24"/>
        </w:rPr>
      </w:pPr>
      <w:bookmarkStart w:id="0" w:name="_Toc12483"/>
      <w:bookmarkStart w:id="1" w:name="_Toc28724"/>
      <w:r>
        <w:rPr>
          <w:rFonts w:hint="eastAsia" w:ascii="宋体" w:hAnsi="宋体" w:eastAsia="宋体" w:cs="宋体"/>
          <w:b/>
          <w:bCs w:val="0"/>
          <w:color w:val="000000"/>
          <w:szCs w:val="24"/>
        </w:rPr>
        <w:t>（一）技术要求</w:t>
      </w:r>
      <w:bookmarkEnd w:id="0"/>
      <w:bookmarkEnd w:id="1"/>
    </w:p>
    <w:p w14:paraId="5ECFE631">
      <w:pPr>
        <w:pStyle w:val="6"/>
        <w:numPr>
          <w:ilvl w:val="3"/>
          <w:numId w:val="0"/>
        </w:numPr>
        <w:ind w:leftChars="200"/>
        <w:jc w:val="left"/>
        <w:rPr>
          <w:rFonts w:ascii="宋体" w:hAnsi="宋体" w:cs="宋体"/>
          <w:b/>
          <w:bCs/>
          <w:color w:val="000000"/>
          <w:sz w:val="30"/>
          <w:szCs w:val="30"/>
        </w:rPr>
      </w:pPr>
      <w:r>
        <w:rPr>
          <w:rFonts w:hint="eastAsia" w:ascii="宋体" w:hAnsi="宋体" w:cs="宋体"/>
          <w:b/>
          <w:bCs/>
          <w:color w:val="000000"/>
          <w:sz w:val="30"/>
          <w:szCs w:val="30"/>
        </w:rPr>
        <w:t>1.应用开发要求</w:t>
      </w:r>
    </w:p>
    <w:p w14:paraId="4257CD52">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要求采用微服务架构的方式实现应用开发，共用共享支撑平台的微服务治理和监控能力；</w:t>
      </w:r>
    </w:p>
    <w:p w14:paraId="4BA7FB2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要求支持中间件类型包括Mysql、Redis、Zookeeper、Elasticsearch、Kafka等，满足信创要求。</w:t>
      </w:r>
    </w:p>
    <w:p w14:paraId="072581ED">
      <w:pPr>
        <w:pStyle w:val="6"/>
        <w:numPr>
          <w:ilvl w:val="3"/>
          <w:numId w:val="0"/>
        </w:numPr>
        <w:ind w:leftChars="200"/>
        <w:jc w:val="left"/>
        <w:rPr>
          <w:rFonts w:hint="eastAsia" w:ascii="宋体" w:hAnsi="宋体" w:cs="宋体"/>
          <w:b/>
          <w:bCs/>
          <w:color w:val="000000"/>
          <w:sz w:val="30"/>
          <w:szCs w:val="30"/>
        </w:rPr>
      </w:pPr>
      <w:r>
        <w:rPr>
          <w:rFonts w:hint="eastAsia" w:ascii="宋体" w:hAnsi="宋体" w:cs="宋体"/>
          <w:b/>
          <w:bCs/>
          <w:color w:val="000000"/>
          <w:sz w:val="30"/>
          <w:szCs w:val="30"/>
        </w:rPr>
        <w:t>2.应用部署要求</w:t>
      </w:r>
    </w:p>
    <w:p w14:paraId="41B783B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支持云私有化部署方案，包含以下内容：</w:t>
      </w:r>
    </w:p>
    <w:p w14:paraId="6EA89ADE">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要求能够良好应对数据量和业务量的变化；</w:t>
      </w:r>
    </w:p>
    <w:p w14:paraId="2755C323">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要求具备完备的代码管理能力，支持代码分析，快速构建，包括但不限于Java，JavaScript等；</w:t>
      </w:r>
    </w:p>
    <w:p w14:paraId="4C2C9D24">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数字经济平台系统需要支持在PC设备上基于windows操作系统进行运行；</w:t>
      </w:r>
    </w:p>
    <w:p w14:paraId="429E4A92">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需招商响应人根据上述要求提供项目建设与系统部署中，预计所需的操作系统、计算、网络、存储、数据库、中间件和安全管理等资源配置要求，并承诺在招商业主需要迁移或整合时，按照要求免费配合完成。</w:t>
      </w:r>
    </w:p>
    <w:p w14:paraId="4D80DDDF">
      <w:pPr>
        <w:pStyle w:val="5"/>
        <w:numPr>
          <w:ilvl w:val="2"/>
          <w:numId w:val="0"/>
        </w:numPr>
        <w:jc w:val="left"/>
        <w:rPr>
          <w:rFonts w:ascii="宋体" w:hAnsi="宋体" w:eastAsia="宋体" w:cs="宋体"/>
          <w:b/>
          <w:bCs w:val="0"/>
          <w:color w:val="000000"/>
          <w:szCs w:val="24"/>
        </w:rPr>
      </w:pPr>
      <w:bookmarkStart w:id="2" w:name="_Toc2354473"/>
      <w:bookmarkEnd w:id="2"/>
      <w:bookmarkStart w:id="3" w:name="_Toc10561677"/>
      <w:bookmarkStart w:id="4" w:name="_Toc31876"/>
      <w:bookmarkStart w:id="5" w:name="_Toc20352"/>
      <w:r>
        <w:rPr>
          <w:rFonts w:hint="eastAsia" w:ascii="宋体" w:hAnsi="宋体" w:eastAsia="宋体" w:cs="宋体"/>
          <w:b/>
          <w:bCs w:val="0"/>
          <w:color w:val="000000"/>
          <w:szCs w:val="24"/>
        </w:rPr>
        <w:t>（二）性能</w:t>
      </w:r>
      <w:bookmarkEnd w:id="3"/>
      <w:r>
        <w:rPr>
          <w:rFonts w:hint="eastAsia" w:ascii="宋体" w:hAnsi="宋体" w:eastAsia="宋体" w:cs="宋体"/>
          <w:b/>
          <w:bCs w:val="0"/>
          <w:color w:val="000000"/>
          <w:szCs w:val="24"/>
        </w:rPr>
        <w:t>指标</w:t>
      </w:r>
      <w:bookmarkEnd w:id="4"/>
      <w:bookmarkEnd w:id="5"/>
    </w:p>
    <w:p w14:paraId="393BC9C4">
      <w:pPr>
        <w:pStyle w:val="6"/>
        <w:numPr>
          <w:ilvl w:val="3"/>
          <w:numId w:val="0"/>
        </w:numPr>
        <w:ind w:leftChars="200"/>
        <w:jc w:val="left"/>
        <w:rPr>
          <w:rFonts w:hint="eastAsia" w:ascii="宋体" w:hAnsi="宋体" w:cs="宋体"/>
          <w:b/>
          <w:bCs/>
          <w:color w:val="000000"/>
          <w:sz w:val="30"/>
          <w:szCs w:val="30"/>
        </w:rPr>
      </w:pPr>
      <w:r>
        <w:rPr>
          <w:rFonts w:hint="eastAsia" w:ascii="宋体" w:hAnsi="宋体" w:cs="宋体"/>
          <w:b/>
          <w:bCs/>
          <w:color w:val="000000"/>
          <w:sz w:val="30"/>
          <w:szCs w:val="30"/>
        </w:rPr>
        <w:t>1.功能性指标</w:t>
      </w:r>
    </w:p>
    <w:p w14:paraId="0E66DB1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系统应充分满足建设能力和系统稳定运行的需要，并要求有30%系统冗余；</w:t>
      </w:r>
    </w:p>
    <w:p w14:paraId="73F6C13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认证：从提交用户名/服务密码到认证结果返回的请求响应时间应小于3秒；</w:t>
      </w:r>
    </w:p>
    <w:p w14:paraId="4FBB0DF7">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首页响应：从用户发出首页请求，到首页完整展示的响应时间应小于3秒；</w:t>
      </w:r>
    </w:p>
    <w:p w14:paraId="297FCBD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数据质量监控：从发现数据处理异常情况，到异常报告发出的时间间隔，要求小于60秒；</w:t>
      </w:r>
    </w:p>
    <w:p w14:paraId="768FC054">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一般单据审批与办理的页面响应时间&lt;2秒；</w:t>
      </w:r>
    </w:p>
    <w:p w14:paraId="6E995EA7">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复杂的业务单据处理，大数据量（带2M以上附件）单据传递，简单的查询与报表，响应时间&lt;5秒； </w:t>
      </w:r>
    </w:p>
    <w:p w14:paraId="6A088F53">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较复杂的综合类、汇总类统计报表，响应时间&lt;15秒；特别复杂的统计与分析型报表，响应时间&lt;30秒； </w:t>
      </w:r>
    </w:p>
    <w:p w14:paraId="12236FBA">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系统应能在线保存3年内的所有业务数据。</w:t>
      </w:r>
    </w:p>
    <w:p w14:paraId="6195AD34">
      <w:pPr>
        <w:pStyle w:val="6"/>
        <w:numPr>
          <w:ilvl w:val="3"/>
          <w:numId w:val="0"/>
        </w:numPr>
        <w:ind w:leftChars="200"/>
        <w:jc w:val="left"/>
        <w:rPr>
          <w:rFonts w:hint="eastAsia" w:ascii="宋体" w:hAnsi="宋体" w:cs="宋体"/>
          <w:b/>
          <w:bCs/>
          <w:color w:val="000000"/>
          <w:sz w:val="30"/>
          <w:szCs w:val="30"/>
        </w:rPr>
      </w:pPr>
      <w:r>
        <w:rPr>
          <w:rFonts w:hint="eastAsia" w:ascii="宋体" w:hAnsi="宋体" w:cs="宋体"/>
          <w:b/>
          <w:bCs/>
          <w:color w:val="000000"/>
          <w:sz w:val="30"/>
          <w:szCs w:val="30"/>
        </w:rPr>
        <w:t>2.其他性指标</w:t>
      </w:r>
    </w:p>
    <w:p w14:paraId="7B7C5044">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稳定性：系统对用户的操作顺序、输入的数据进行正确性检查，并以显著方式提示错误信息；系统需有出错处理机制，当系统运行过程中发生错误时，系统将明确提示错误信息并指导用户按照系统错误处理手册进行处理；系统应提供运行监视和故障恢复机制，建立系统运行日志文件，能跟踪系统的所有操作；系统配备软件异常处理措施；</w:t>
      </w:r>
    </w:p>
    <w:p w14:paraId="77563EA0">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易用性：系统操作简单、界面简捷、容易上手，具有良好的UI接口、界面操作方式一致、复杂操作有注释、出错处理有人性化提示等；</w:t>
      </w:r>
    </w:p>
    <w:p w14:paraId="3E6344D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安全性：具有规范、丰富、细致和易维护的权限管理，确保系统安全可靠，同时要求系统提供的安全日志可详细记录各操作人员使用本系统的情况，便于系统的监督与管理；</w:t>
      </w:r>
    </w:p>
    <w:p w14:paraId="113BEA3C">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可扩展性：系统具有良好的可扩展性、平台开放性，能够满足业务不断变化的需求要求，为系统后期功能的增强提供良好的支持；</w:t>
      </w:r>
    </w:p>
    <w:p w14:paraId="448C3375">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可移植性：系统要有良好的可移植性，支持跨平台部署；</w:t>
      </w:r>
    </w:p>
    <w:p w14:paraId="4A462F7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可维护性：系统必须具备正确、完整与系统一致的说明文档。维护人员可通过阅读源代码和相关文档轻松了解软件系统的结构、接口、功能、内部过程以及如何运行、如何部署、如果扩容或水平伸缩等维护方面的工作；</w:t>
      </w:r>
    </w:p>
    <w:p w14:paraId="24AE393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可靠性：系统必须建立容错和容灾机制，建立故障处理预案，并有必要的技术手段支持。</w:t>
      </w:r>
    </w:p>
    <w:p w14:paraId="50D09575">
      <w:pPr>
        <w:pStyle w:val="5"/>
        <w:numPr>
          <w:ilvl w:val="2"/>
          <w:numId w:val="0"/>
        </w:numPr>
        <w:jc w:val="left"/>
        <w:rPr>
          <w:rFonts w:ascii="宋体" w:hAnsi="宋体" w:eastAsia="宋体" w:cs="宋体"/>
          <w:b/>
          <w:bCs w:val="0"/>
          <w:color w:val="000000"/>
          <w:szCs w:val="24"/>
        </w:rPr>
      </w:pPr>
      <w:bookmarkStart w:id="6" w:name="_Toc10561678"/>
      <w:bookmarkEnd w:id="6"/>
      <w:bookmarkStart w:id="7" w:name="_Toc10561679"/>
      <w:bookmarkEnd w:id="7"/>
      <w:bookmarkStart w:id="8" w:name="_Toc10561680"/>
      <w:bookmarkEnd w:id="8"/>
      <w:bookmarkStart w:id="9" w:name="_Toc10561681"/>
      <w:bookmarkEnd w:id="9"/>
      <w:bookmarkStart w:id="10" w:name="_Toc5471"/>
      <w:bookmarkStart w:id="11" w:name="_Toc10310"/>
      <w:r>
        <w:rPr>
          <w:rFonts w:hint="eastAsia" w:ascii="宋体" w:hAnsi="宋体" w:eastAsia="宋体" w:cs="宋体"/>
          <w:b/>
          <w:bCs w:val="0"/>
          <w:color w:val="000000"/>
          <w:szCs w:val="24"/>
        </w:rPr>
        <w:t>（三）安全指标</w:t>
      </w:r>
      <w:bookmarkEnd w:id="10"/>
      <w:bookmarkEnd w:id="11"/>
    </w:p>
    <w:p w14:paraId="7A2BEAB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Ai永州数字经济平台项目的建设需要遵循《网络安全法》互联网应用和网络安全等级保护第三级的相关要求。</w:t>
      </w:r>
    </w:p>
    <w:p w14:paraId="43BCF163">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1.系统应具有防病毒能力。防病毒软件应具备全面查杀病毒，查杀病毒准确无误，管理方便，病毒特征码自动更新，安装简单的特点。</w:t>
      </w:r>
    </w:p>
    <w:p w14:paraId="1EBD3D8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2.系统应具有入侵检测的功能，监控可疑的连接、非法访问等，采取的措施包括实时报警、自动阻断通信连接或执行用户自定义的安全策略。</w:t>
      </w:r>
    </w:p>
    <w:p w14:paraId="771FB60F">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3.应提供完善的漏洞扫描手段，及时发现系统的安全隐患，并据此提供必要的解决方案。</w:t>
      </w:r>
    </w:p>
    <w:p w14:paraId="4D9F1E77">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4.系统应具备访问权限的识别和控制功能，根据不同的应用需求提供多级密码口令，对系统管理员、数据库管理员及其他管理员必须授予不同级别的管理权限。</w:t>
      </w:r>
    </w:p>
    <w:p w14:paraId="74255766">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5.系统应提供操作日志记录功能，以便及时掌握系统安全状态。</w:t>
      </w:r>
    </w:p>
    <w:p w14:paraId="3BDBAF79">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6.数据库应支持多级安全控制。支持数据库存储加密、数据传输通道加密及相应冗余控制。</w:t>
      </w:r>
    </w:p>
    <w:p w14:paraId="47ECEF87">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7.能够对安全事件进行详细的记录，并根据需要随时进行查阅。</w:t>
      </w:r>
    </w:p>
    <w:p w14:paraId="155F169B">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8.系统的安全防护不能对本系统及关联系统产生任何负面影响。</w:t>
      </w:r>
    </w:p>
    <w:p w14:paraId="7778B1EA">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9.系统必须采取定期备份或作数据容灾备份等措施来保证数据的安全。</w:t>
      </w:r>
    </w:p>
    <w:p w14:paraId="04CB1DA7">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0" w:leftChars="0" w:firstLine="0" w:firstLineChars="0"/>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项目清单</w:t>
      </w:r>
    </w:p>
    <w:tbl>
      <w:tblPr>
        <w:tblStyle w:val="21"/>
        <w:tblW w:w="7617"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7"/>
        <w:gridCol w:w="1897"/>
        <w:gridCol w:w="1754"/>
        <w:gridCol w:w="2623"/>
        <w:gridCol w:w="906"/>
      </w:tblGrid>
      <w:tr w14:paraId="114B8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9D7D0">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28D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建设内容</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953D">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8E8D">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一级系统</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9B6CB">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数量</w:t>
            </w:r>
          </w:p>
        </w:tc>
      </w:tr>
      <w:tr w14:paraId="6D195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1F2E37">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8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169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城市全域数字化转型中枢平台</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F9F351">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城市数字经济共性支撑平台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26FC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城市数字经济技术基础平台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87BA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57B15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DAF6E1">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22BA5">
            <w:pPr>
              <w:jc w:val="center"/>
              <w:rPr>
                <w:rFonts w:hint="eastAsia" w:ascii="仿宋" w:hAnsi="仿宋" w:eastAsia="仿宋" w:cs="仿宋"/>
                <w:i w:val="0"/>
                <w:iCs w:val="0"/>
                <w:color w:val="000000"/>
                <w:sz w:val="28"/>
                <w:szCs w:val="28"/>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EE755">
            <w:pPr>
              <w:jc w:val="left"/>
              <w:rPr>
                <w:rFonts w:hint="eastAsia" w:ascii="仿宋" w:hAnsi="仿宋" w:eastAsia="仿宋" w:cs="仿宋"/>
                <w:i w:val="0"/>
                <w:iCs w:val="0"/>
                <w:color w:val="000000"/>
                <w:sz w:val="28"/>
                <w:szCs w:val="28"/>
                <w:u w:val="none"/>
              </w:rPr>
            </w:pP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890B">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城市数字经济业务基础平台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11D8">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57F24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3BB6F2">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327C">
            <w:pPr>
              <w:jc w:val="center"/>
              <w:rPr>
                <w:rFonts w:hint="eastAsia" w:ascii="仿宋" w:hAnsi="仿宋" w:eastAsia="仿宋" w:cs="仿宋"/>
                <w:i w:val="0"/>
                <w:iCs w:val="0"/>
                <w:color w:val="000000"/>
                <w:sz w:val="28"/>
                <w:szCs w:val="28"/>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AA188">
            <w:pPr>
              <w:jc w:val="left"/>
              <w:rPr>
                <w:rFonts w:hint="eastAsia" w:ascii="仿宋" w:hAnsi="仿宋" w:eastAsia="仿宋" w:cs="仿宋"/>
                <w:i w:val="0"/>
                <w:iCs w:val="0"/>
                <w:color w:val="000000"/>
                <w:sz w:val="28"/>
                <w:szCs w:val="28"/>
                <w:u w:val="none"/>
              </w:rPr>
            </w:pP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1CC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城市数字经济运营平台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1E7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2963D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374882">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28F99">
            <w:pPr>
              <w:jc w:val="center"/>
              <w:rPr>
                <w:rFonts w:hint="eastAsia" w:ascii="仿宋" w:hAnsi="仿宋" w:eastAsia="仿宋" w:cs="仿宋"/>
                <w:i w:val="0"/>
                <w:iCs w:val="0"/>
                <w:color w:val="000000"/>
                <w:sz w:val="28"/>
                <w:szCs w:val="28"/>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D96CC">
            <w:pPr>
              <w:jc w:val="left"/>
              <w:rPr>
                <w:rFonts w:hint="eastAsia" w:ascii="仿宋" w:hAnsi="仿宋" w:eastAsia="仿宋" w:cs="仿宋"/>
                <w:i w:val="0"/>
                <w:iCs w:val="0"/>
                <w:color w:val="000000"/>
                <w:sz w:val="28"/>
                <w:szCs w:val="28"/>
                <w:u w:val="none"/>
              </w:rPr>
            </w:pP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3E93">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城市数字经济开发平台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9ED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39EE8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12A072">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9FEA0">
            <w:pPr>
              <w:jc w:val="center"/>
              <w:rPr>
                <w:rFonts w:hint="eastAsia" w:ascii="仿宋" w:hAnsi="仿宋" w:eastAsia="仿宋" w:cs="仿宋"/>
                <w:i w:val="0"/>
                <w:iCs w:val="0"/>
                <w:color w:val="000000"/>
                <w:sz w:val="28"/>
                <w:szCs w:val="28"/>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F30AA">
            <w:pPr>
              <w:jc w:val="left"/>
              <w:rPr>
                <w:rFonts w:hint="eastAsia" w:ascii="仿宋" w:hAnsi="仿宋" w:eastAsia="仿宋" w:cs="仿宋"/>
                <w:i w:val="0"/>
                <w:iCs w:val="0"/>
                <w:color w:val="000000"/>
                <w:sz w:val="28"/>
                <w:szCs w:val="28"/>
                <w:u w:val="none"/>
              </w:rPr>
            </w:pP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445F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城市数字经济治理平台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4FC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7BDAC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763879">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A80EE">
            <w:pPr>
              <w:jc w:val="center"/>
              <w:rPr>
                <w:rFonts w:hint="eastAsia" w:ascii="仿宋" w:hAnsi="仿宋" w:eastAsia="仿宋" w:cs="仿宋"/>
                <w:i w:val="0"/>
                <w:iCs w:val="0"/>
                <w:color w:val="000000"/>
                <w:sz w:val="28"/>
                <w:szCs w:val="28"/>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E9593">
            <w:pPr>
              <w:jc w:val="left"/>
              <w:rPr>
                <w:rFonts w:hint="eastAsia" w:ascii="仿宋" w:hAnsi="仿宋" w:eastAsia="仿宋" w:cs="仿宋"/>
                <w:i w:val="0"/>
                <w:iCs w:val="0"/>
                <w:color w:val="000000"/>
                <w:sz w:val="28"/>
                <w:szCs w:val="28"/>
                <w:u w:val="none"/>
              </w:rPr>
            </w:pP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3BE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城市数字经济能力运营管控平台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CE7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4E95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CFCD84">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A8427">
            <w:pPr>
              <w:jc w:val="center"/>
              <w:rPr>
                <w:rFonts w:hint="eastAsia" w:ascii="仿宋" w:hAnsi="仿宋" w:eastAsia="仿宋" w:cs="仿宋"/>
                <w:i w:val="0"/>
                <w:iCs w:val="0"/>
                <w:color w:val="000000"/>
                <w:sz w:val="28"/>
                <w:szCs w:val="28"/>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EE15E">
            <w:pPr>
              <w:jc w:val="left"/>
              <w:rPr>
                <w:rFonts w:hint="eastAsia" w:ascii="仿宋" w:hAnsi="仿宋" w:eastAsia="仿宋" w:cs="仿宋"/>
                <w:i w:val="0"/>
                <w:iCs w:val="0"/>
                <w:color w:val="000000"/>
                <w:sz w:val="28"/>
                <w:szCs w:val="28"/>
                <w:u w:val="none"/>
              </w:rPr>
            </w:pP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D79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城市产业数字化赋能平台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579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1D11F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55FE7C">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4EE6">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2D7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城市数字经济大模型平台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3812D1">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AB58">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22FDD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A81B93">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89B9">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D900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城市数据要素流通运营平台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45B4B4">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43B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1F847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A8E264">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68DC9">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9C0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城市数字经济数据底座平台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A8AD02">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740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719F2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FDADE5">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18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112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全域数字化转型应用场景</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23001C">
            <w:pPr>
              <w:keepNext w:val="0"/>
              <w:keepLines w:val="0"/>
              <w:widowControl/>
              <w:suppressLineNumbers w:val="0"/>
              <w:jc w:val="both"/>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Ai</w:t>
            </w:r>
            <w:r>
              <w:rPr>
                <w:rStyle w:val="35"/>
                <w:rFonts w:hint="eastAsia" w:ascii="仿宋" w:hAnsi="仿宋" w:eastAsia="仿宋" w:cs="仿宋"/>
                <w:sz w:val="28"/>
                <w:szCs w:val="28"/>
                <w:lang w:val="en-US" w:eastAsia="zh-CN" w:bidi="ar"/>
              </w:rPr>
              <w:t>永州数字经济</w:t>
            </w:r>
            <w:r>
              <w:rPr>
                <w:rStyle w:val="36"/>
                <w:rFonts w:hint="eastAsia" w:ascii="仿宋" w:hAnsi="仿宋" w:eastAsia="仿宋" w:cs="仿宋"/>
                <w:sz w:val="28"/>
                <w:szCs w:val="28"/>
                <w:lang w:val="en-US" w:eastAsia="zh-CN" w:bidi="ar"/>
              </w:rPr>
              <w:t>App系统</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CAEC22">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FA12">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37D83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93A6A4">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9C25">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60A2E8">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 X”数字化市场运营服务系统</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44506D">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B4F9">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3BC16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624FEC">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F2AB7">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06F850">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 X”支付产业数字化服务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EAAF73">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B2D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1F571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3C8A6D">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14</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4DD5">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C57CBF">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 X”社区服务数字化服务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957E30">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99C4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22A39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9B5E69">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302A">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3B9D36">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 X”成品油一体化监管服务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8A61AD">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F438">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7BC86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5B9363">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16</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20025">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8B7F8B">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“数据要素X”餐饮产业数字化服务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97D0A5">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9E2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11460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DC7439">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17</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62281">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0321D1">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 X”零售产业数字化服务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F6F1C0">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9809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6DB84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3302D3">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2D07B">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1C0F21">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“数据要素X”景区产业数字化服务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1CE2B8">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45D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0FB47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4CDF01">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19</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ABFE">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71D256">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“数据要素X”住宿产业数字化服务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804B54">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9399">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3E363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9B2069">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B788F">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ED4BA0">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“数据要素X”交通产业数字化服务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DF8EE8">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18C0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6F9E3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329D04">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21</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1BF10">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8B93B4">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“数据要素 X”普惠金融产业数字化服务</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3135D7">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8C544">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45A4C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8A8B49">
            <w:pPr>
              <w:keepNext w:val="0"/>
              <w:keepLines w:val="0"/>
              <w:widowControl/>
              <w:suppressLineNumbers w:val="0"/>
              <w:jc w:val="righ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18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82C60">
            <w:pPr>
              <w:jc w:val="center"/>
              <w:rPr>
                <w:rFonts w:hint="eastAsia" w:ascii="仿宋" w:hAnsi="仿宋" w:eastAsia="仿宋" w:cs="仿宋"/>
                <w:i w:val="0"/>
                <w:iCs w:val="0"/>
                <w:color w:val="000000"/>
                <w:sz w:val="28"/>
                <w:szCs w:val="28"/>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34BFA2">
            <w:pPr>
              <w:keepNext w:val="0"/>
              <w:keepLines w:val="0"/>
              <w:widowControl/>
              <w:suppressLineNumbers w:val="0"/>
              <w:jc w:val="left"/>
              <w:textAlignment w:val="bottom"/>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数字经济驾驶舱</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888A8F">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9BA2">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1套</w:t>
            </w:r>
          </w:p>
        </w:tc>
      </w:tr>
      <w:tr w14:paraId="3B02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888A06">
            <w:pPr>
              <w:keepNext w:val="0"/>
              <w:keepLines w:val="0"/>
              <w:widowControl/>
              <w:suppressLineNumbers w:val="0"/>
              <w:jc w:val="righ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23</w:t>
            </w:r>
          </w:p>
        </w:tc>
        <w:tc>
          <w:tcPr>
            <w:tcW w:w="1897" w:type="dxa"/>
            <w:vMerge w:val="restart"/>
            <w:tcBorders>
              <w:top w:val="single" w:color="000000" w:sz="4" w:space="0"/>
              <w:left w:val="single" w:color="000000" w:sz="4" w:space="0"/>
              <w:right w:val="single" w:color="000000" w:sz="4" w:space="0"/>
            </w:tcBorders>
            <w:shd w:val="clear" w:color="auto" w:fill="auto"/>
            <w:noWrap/>
            <w:vAlign w:val="center"/>
          </w:tcPr>
          <w:p w14:paraId="7F9EA8B6">
            <w:pPr>
              <w:jc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第三方系统接口对接</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C485B0">
            <w:pPr>
              <w:keepNext w:val="0"/>
              <w:keepLines w:val="0"/>
              <w:widowControl/>
              <w:suppressLineNumbers w:val="0"/>
              <w:jc w:val="left"/>
              <w:textAlignment w:val="bottom"/>
              <w:rPr>
                <w:rFonts w:hint="default"/>
                <w:lang w:val="en-US" w:eastAsia="zh-CN"/>
              </w:rPr>
            </w:pPr>
            <w:r>
              <w:rPr>
                <w:rFonts w:hint="eastAsia" w:ascii="仿宋" w:hAnsi="仿宋" w:eastAsia="仿宋" w:cs="仿宋"/>
                <w:i w:val="0"/>
                <w:iCs w:val="0"/>
                <w:color w:val="000000"/>
                <w:kern w:val="0"/>
                <w:sz w:val="28"/>
                <w:szCs w:val="28"/>
                <w:u w:val="none"/>
                <w:lang w:val="en-US" w:eastAsia="zh-CN" w:bidi="ar"/>
              </w:rPr>
              <w:t>短信平台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01BA1E">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84CC4">
            <w:pPr>
              <w:keepNext w:val="0"/>
              <w:keepLines w:val="0"/>
              <w:widowControl/>
              <w:suppressLineNumbers w:val="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1套</w:t>
            </w:r>
          </w:p>
        </w:tc>
      </w:tr>
      <w:tr w14:paraId="15C7E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42D8A6">
            <w:pPr>
              <w:keepNext w:val="0"/>
              <w:keepLines w:val="0"/>
              <w:widowControl/>
              <w:suppressLineNumbers w:val="0"/>
              <w:jc w:val="righ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24</w:t>
            </w:r>
          </w:p>
        </w:tc>
        <w:tc>
          <w:tcPr>
            <w:tcW w:w="1897" w:type="dxa"/>
            <w:vMerge w:val="continue"/>
            <w:tcBorders>
              <w:left w:val="single" w:color="000000" w:sz="4" w:space="0"/>
              <w:right w:val="single" w:color="000000" w:sz="4" w:space="0"/>
            </w:tcBorders>
            <w:shd w:val="clear" w:color="auto" w:fill="auto"/>
            <w:noWrap/>
            <w:vAlign w:val="center"/>
          </w:tcPr>
          <w:p w14:paraId="021BA7F0">
            <w:pPr>
              <w:jc w:val="center"/>
              <w:rPr>
                <w:rFonts w:hint="eastAsia" w:ascii="仿宋" w:hAnsi="仿宋" w:eastAsia="仿宋" w:cs="仿宋"/>
                <w:i w:val="0"/>
                <w:iCs w:val="0"/>
                <w:color w:val="000000"/>
                <w:sz w:val="28"/>
                <w:szCs w:val="28"/>
                <w:u w:val="none"/>
                <w:lang w:val="en-US" w:eastAsia="zh-CN"/>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3A6BD8">
            <w:pPr>
              <w:keepNext w:val="0"/>
              <w:keepLines w:val="0"/>
              <w:widowControl/>
              <w:suppressLineNumbers w:val="0"/>
              <w:jc w:val="lef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支付系统</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4B617A">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331A">
            <w:pPr>
              <w:keepNext w:val="0"/>
              <w:keepLines w:val="0"/>
              <w:widowControl/>
              <w:suppressLineNumbers w:val="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1套</w:t>
            </w:r>
          </w:p>
        </w:tc>
      </w:tr>
      <w:tr w14:paraId="6E561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3311E3">
            <w:pPr>
              <w:keepNext w:val="0"/>
              <w:keepLines w:val="0"/>
              <w:widowControl/>
              <w:suppressLineNumbers w:val="0"/>
              <w:jc w:val="righ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25</w:t>
            </w:r>
          </w:p>
        </w:tc>
        <w:tc>
          <w:tcPr>
            <w:tcW w:w="1897" w:type="dxa"/>
            <w:vMerge w:val="continue"/>
            <w:tcBorders>
              <w:left w:val="single" w:color="000000" w:sz="4" w:space="0"/>
              <w:right w:val="single" w:color="000000" w:sz="4" w:space="0"/>
            </w:tcBorders>
            <w:shd w:val="clear" w:color="auto" w:fill="auto"/>
            <w:noWrap/>
            <w:vAlign w:val="center"/>
          </w:tcPr>
          <w:p w14:paraId="255BE01C">
            <w:pPr>
              <w:jc w:val="center"/>
              <w:rPr>
                <w:rFonts w:hint="eastAsia" w:ascii="仿宋" w:hAnsi="仿宋" w:eastAsia="仿宋" w:cs="仿宋"/>
                <w:i w:val="0"/>
                <w:iCs w:val="0"/>
                <w:color w:val="000000"/>
                <w:sz w:val="28"/>
                <w:szCs w:val="28"/>
                <w:u w:val="none"/>
                <w:lang w:val="en-US" w:eastAsia="zh-CN"/>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95F401">
            <w:pPr>
              <w:keepNext w:val="0"/>
              <w:keepLines w:val="0"/>
              <w:widowControl/>
              <w:suppressLineNumbers w:val="0"/>
              <w:jc w:val="left"/>
              <w:textAlignment w:val="bottom"/>
              <w:rPr>
                <w:rFonts w:hint="default"/>
                <w:lang w:val="en-US" w:eastAsia="zh-CN"/>
              </w:rPr>
            </w:pPr>
            <w:r>
              <w:rPr>
                <w:rFonts w:hint="eastAsia" w:ascii="仿宋" w:hAnsi="仿宋" w:eastAsia="仿宋" w:cs="仿宋"/>
                <w:i w:val="0"/>
                <w:iCs w:val="0"/>
                <w:color w:val="000000"/>
                <w:kern w:val="0"/>
                <w:sz w:val="28"/>
                <w:szCs w:val="28"/>
                <w:u w:val="none"/>
                <w:lang w:val="en-US" w:eastAsia="zh-CN" w:bidi="ar"/>
              </w:rPr>
              <w:t>一体化在线政务平台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AFC56F">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2BFD">
            <w:pPr>
              <w:keepNext w:val="0"/>
              <w:keepLines w:val="0"/>
              <w:widowControl/>
              <w:suppressLineNumbers w:val="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1套</w:t>
            </w:r>
          </w:p>
        </w:tc>
      </w:tr>
      <w:tr w14:paraId="0CED0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DD17F9">
            <w:pPr>
              <w:keepNext w:val="0"/>
              <w:keepLines w:val="0"/>
              <w:widowControl/>
              <w:suppressLineNumbers w:val="0"/>
              <w:jc w:val="righ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26</w:t>
            </w:r>
          </w:p>
        </w:tc>
        <w:tc>
          <w:tcPr>
            <w:tcW w:w="1897" w:type="dxa"/>
            <w:vMerge w:val="continue"/>
            <w:tcBorders>
              <w:left w:val="single" w:color="000000" w:sz="4" w:space="0"/>
              <w:right w:val="single" w:color="000000" w:sz="4" w:space="0"/>
            </w:tcBorders>
            <w:shd w:val="clear" w:color="auto" w:fill="auto"/>
            <w:noWrap/>
            <w:vAlign w:val="center"/>
          </w:tcPr>
          <w:p w14:paraId="75179F01">
            <w:pPr>
              <w:jc w:val="center"/>
              <w:rPr>
                <w:rFonts w:hint="eastAsia" w:ascii="仿宋" w:hAnsi="仿宋" w:eastAsia="仿宋" w:cs="仿宋"/>
                <w:i w:val="0"/>
                <w:iCs w:val="0"/>
                <w:color w:val="000000"/>
                <w:sz w:val="28"/>
                <w:szCs w:val="28"/>
                <w:u w:val="none"/>
                <w:lang w:val="en-US" w:eastAsia="zh-CN"/>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B257F0">
            <w:pPr>
              <w:keepNext w:val="0"/>
              <w:keepLines w:val="0"/>
              <w:widowControl/>
              <w:suppressLineNumbers w:val="0"/>
              <w:jc w:val="lef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政务数据共享交换平台</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8B1872">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CD10">
            <w:pPr>
              <w:keepNext w:val="0"/>
              <w:keepLines w:val="0"/>
              <w:widowControl/>
              <w:suppressLineNumbers w:val="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1套</w:t>
            </w:r>
          </w:p>
        </w:tc>
      </w:tr>
      <w:tr w14:paraId="7F02D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043F71">
            <w:pPr>
              <w:keepNext w:val="0"/>
              <w:keepLines w:val="0"/>
              <w:widowControl/>
              <w:suppressLineNumbers w:val="0"/>
              <w:jc w:val="righ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27</w:t>
            </w:r>
          </w:p>
        </w:tc>
        <w:tc>
          <w:tcPr>
            <w:tcW w:w="1897" w:type="dxa"/>
            <w:vMerge w:val="continue"/>
            <w:tcBorders>
              <w:left w:val="single" w:color="000000" w:sz="4" w:space="0"/>
              <w:right w:val="single" w:color="000000" w:sz="4" w:space="0"/>
            </w:tcBorders>
            <w:shd w:val="clear" w:color="auto" w:fill="auto"/>
            <w:noWrap/>
            <w:vAlign w:val="center"/>
          </w:tcPr>
          <w:p w14:paraId="06383787">
            <w:pPr>
              <w:jc w:val="center"/>
              <w:rPr>
                <w:rFonts w:hint="eastAsia" w:ascii="仿宋" w:hAnsi="仿宋" w:eastAsia="仿宋" w:cs="仿宋"/>
                <w:i w:val="0"/>
                <w:iCs w:val="0"/>
                <w:color w:val="000000"/>
                <w:sz w:val="28"/>
                <w:szCs w:val="28"/>
                <w:u w:val="none"/>
                <w:lang w:val="en-US" w:eastAsia="zh-CN"/>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131FB6">
            <w:pPr>
              <w:keepNext w:val="0"/>
              <w:keepLines w:val="0"/>
              <w:widowControl/>
              <w:suppressLineNumbers w:val="0"/>
              <w:jc w:val="lef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第三方机构系统</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004819">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6848E">
            <w:pPr>
              <w:keepNext w:val="0"/>
              <w:keepLines w:val="0"/>
              <w:widowControl/>
              <w:suppressLineNumbers w:val="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1套</w:t>
            </w:r>
          </w:p>
        </w:tc>
      </w:tr>
      <w:tr w14:paraId="17CBF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A339FA">
            <w:pPr>
              <w:keepNext w:val="0"/>
              <w:keepLines w:val="0"/>
              <w:widowControl/>
              <w:suppressLineNumbers w:val="0"/>
              <w:jc w:val="righ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28</w:t>
            </w:r>
          </w:p>
        </w:tc>
        <w:tc>
          <w:tcPr>
            <w:tcW w:w="1897" w:type="dxa"/>
            <w:vMerge w:val="continue"/>
            <w:tcBorders>
              <w:left w:val="single" w:color="000000" w:sz="4" w:space="0"/>
              <w:bottom w:val="single" w:color="000000" w:sz="4" w:space="0"/>
              <w:right w:val="single" w:color="000000" w:sz="4" w:space="0"/>
            </w:tcBorders>
            <w:shd w:val="clear" w:color="auto" w:fill="auto"/>
            <w:noWrap/>
            <w:vAlign w:val="center"/>
          </w:tcPr>
          <w:p w14:paraId="7FF8222C">
            <w:pPr>
              <w:jc w:val="center"/>
              <w:rPr>
                <w:rFonts w:hint="eastAsia" w:ascii="仿宋" w:hAnsi="仿宋" w:eastAsia="仿宋" w:cs="仿宋"/>
                <w:i w:val="0"/>
                <w:iCs w:val="0"/>
                <w:color w:val="000000"/>
                <w:sz w:val="28"/>
                <w:szCs w:val="28"/>
                <w:u w:val="none"/>
                <w:lang w:val="en-US" w:eastAsia="zh-CN"/>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3D079B">
            <w:pPr>
              <w:keepNext w:val="0"/>
              <w:keepLines w:val="0"/>
              <w:widowControl/>
              <w:suppressLineNumbers w:val="0"/>
              <w:jc w:val="left"/>
              <w:textAlignment w:val="bottom"/>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互联网渠道系统</w:t>
            </w:r>
          </w:p>
        </w:tc>
        <w:tc>
          <w:tcPr>
            <w:tcW w:w="2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E97516">
            <w:pPr>
              <w:rPr>
                <w:rFonts w:hint="eastAsia" w:ascii="仿宋" w:hAnsi="仿宋" w:eastAsia="仿宋" w:cs="仿宋"/>
                <w:i w:val="0"/>
                <w:iCs w:val="0"/>
                <w:color w:val="000000"/>
                <w:sz w:val="28"/>
                <w:szCs w:val="28"/>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9E33F">
            <w:pPr>
              <w:keepNext w:val="0"/>
              <w:keepLines w:val="0"/>
              <w:widowControl/>
              <w:suppressLineNumbers w:val="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1套</w:t>
            </w:r>
          </w:p>
        </w:tc>
      </w:tr>
    </w:tbl>
    <w:p w14:paraId="410B692B">
      <w:pPr>
        <w:rPr>
          <w:rFonts w:hint="eastAsia" w:ascii="黑体" w:hAnsi="黑体" w:eastAsia="黑体" w:cs="黑体"/>
          <w:b/>
          <w:bCs w:val="0"/>
          <w:sz w:val="28"/>
          <w:szCs w:val="28"/>
          <w:lang w:val="en-US" w:eastAsia="zh-CN"/>
        </w:rPr>
      </w:pPr>
    </w:p>
    <w:p w14:paraId="3D051B3D">
      <w:pPr>
        <w:pageBreakBefore w:val="0"/>
        <w:widowControl/>
        <w:overflowPunct/>
        <w:topLinePunct w:val="0"/>
        <w:bidi w:val="0"/>
        <w:jc w:val="left"/>
        <w:rPr>
          <w:rFonts w:hint="eastAsia" w:ascii="仿宋_GB2312" w:hAnsi="仿宋_GB2312" w:eastAsia="仿宋_GB2312" w:cs="仿宋_GB2312"/>
          <w:color w:val="auto"/>
          <w:sz w:val="28"/>
          <w:szCs w:val="28"/>
          <w:highlight w:val="none"/>
          <w:lang w:val="en-US" w:eastAsia="zh-CN"/>
        </w:rPr>
      </w:pPr>
    </w:p>
    <w:sectPr>
      <w:headerReference r:id="rId4" w:type="first"/>
      <w:footerReference r:id="rId6" w:type="first"/>
      <w:headerReference r:id="rId3" w:type="default"/>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BE75C8-F75C-44D5-9E25-AD16BC942D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0DA5A474-6AB8-4E76-AE4E-69A5C2934D65}"/>
  </w:font>
  <w:font w:name="仿宋_GB2312">
    <w:panose1 w:val="02010609030101010101"/>
    <w:charset w:val="86"/>
    <w:family w:val="auto"/>
    <w:pitch w:val="default"/>
    <w:sig w:usb0="00000001" w:usb1="080E0000" w:usb2="00000000" w:usb3="00000000" w:csb0="00040000" w:csb1="00000000"/>
    <w:embedRegular r:id="rId3" w:fontKey="{85FE3996-D029-4E85-A9BF-AB31923765A2}"/>
  </w:font>
  <w:font w:name="Calibri Light">
    <w:panose1 w:val="020F03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9C369">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2CE57">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F52CE57">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9DB47">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FCF98">
    <w:pPr>
      <w:pStyle w:val="19"/>
      <w:pBdr>
        <w:bottom w:val="single" w:color="auto" w:sz="4" w:space="1"/>
      </w:pBdr>
    </w:pPr>
    <w:r>
      <w:rPr>
        <w:rFonts w:hint="default"/>
        <w:lang w:val="en-US"/>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3D5D8">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13742E"/>
    <w:multiLevelType w:val="multilevel"/>
    <w:tmpl w:val="0013742E"/>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5"/>
      <w:suff w:val="nothing"/>
      <w:lvlText w:val="%3．"/>
      <w:lvlJc w:val="left"/>
      <w:pPr>
        <w:ind w:left="0" w:firstLine="400"/>
      </w:pPr>
      <w:rPr>
        <w:rFonts w:hint="eastAsia"/>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abstractNum w:abstractNumId="1">
    <w:nsid w:val="2D2B5258"/>
    <w:multiLevelType w:val="singleLevel"/>
    <w:tmpl w:val="2D2B5258"/>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yZGI4OWZjMzQ2MjAyMDc0NmM0OGVmYjQ0MGVjYmYifQ=="/>
  </w:docVars>
  <w:rsids>
    <w:rsidRoot w:val="1D553482"/>
    <w:rsid w:val="01E03724"/>
    <w:rsid w:val="041A4F11"/>
    <w:rsid w:val="05AA0B19"/>
    <w:rsid w:val="068F2313"/>
    <w:rsid w:val="07E7177F"/>
    <w:rsid w:val="08B36CED"/>
    <w:rsid w:val="0BE052CD"/>
    <w:rsid w:val="0D963246"/>
    <w:rsid w:val="0E7F059B"/>
    <w:rsid w:val="0EAF6971"/>
    <w:rsid w:val="0EEA1255"/>
    <w:rsid w:val="0F551F7C"/>
    <w:rsid w:val="0FBE2918"/>
    <w:rsid w:val="10D46CF7"/>
    <w:rsid w:val="11A260F1"/>
    <w:rsid w:val="13282A45"/>
    <w:rsid w:val="134B23C9"/>
    <w:rsid w:val="149208C7"/>
    <w:rsid w:val="15520056"/>
    <w:rsid w:val="16F92AFF"/>
    <w:rsid w:val="177E258A"/>
    <w:rsid w:val="179627C7"/>
    <w:rsid w:val="188141E1"/>
    <w:rsid w:val="1AD63BA3"/>
    <w:rsid w:val="1B116A28"/>
    <w:rsid w:val="1C4029DC"/>
    <w:rsid w:val="1C4053D8"/>
    <w:rsid w:val="1CEB5018"/>
    <w:rsid w:val="1D553482"/>
    <w:rsid w:val="1E9D2342"/>
    <w:rsid w:val="1EB76CEC"/>
    <w:rsid w:val="1ECC2C66"/>
    <w:rsid w:val="1FDD1228"/>
    <w:rsid w:val="21AB2F17"/>
    <w:rsid w:val="222D60D3"/>
    <w:rsid w:val="224B0AAA"/>
    <w:rsid w:val="22CE330B"/>
    <w:rsid w:val="22FD606B"/>
    <w:rsid w:val="26427C0A"/>
    <w:rsid w:val="26AD77E2"/>
    <w:rsid w:val="27B32551"/>
    <w:rsid w:val="27C6290A"/>
    <w:rsid w:val="27D139D1"/>
    <w:rsid w:val="280E2503"/>
    <w:rsid w:val="2A7467F4"/>
    <w:rsid w:val="2F911A4F"/>
    <w:rsid w:val="2FF7DC6F"/>
    <w:rsid w:val="30F46739"/>
    <w:rsid w:val="3248281F"/>
    <w:rsid w:val="34DA3E98"/>
    <w:rsid w:val="39362D77"/>
    <w:rsid w:val="3B3836C7"/>
    <w:rsid w:val="3B9A6D9C"/>
    <w:rsid w:val="3BF05D4F"/>
    <w:rsid w:val="3C3C7B42"/>
    <w:rsid w:val="3C55331F"/>
    <w:rsid w:val="3C5C5193"/>
    <w:rsid w:val="3CE8258E"/>
    <w:rsid w:val="3CEE075F"/>
    <w:rsid w:val="3E24689A"/>
    <w:rsid w:val="3E3143FD"/>
    <w:rsid w:val="3F693F1F"/>
    <w:rsid w:val="3F7EB21F"/>
    <w:rsid w:val="3FC337AF"/>
    <w:rsid w:val="3FE122B0"/>
    <w:rsid w:val="3FF5E258"/>
    <w:rsid w:val="408837F8"/>
    <w:rsid w:val="41476E3A"/>
    <w:rsid w:val="423156C3"/>
    <w:rsid w:val="42BC3DFA"/>
    <w:rsid w:val="43273D03"/>
    <w:rsid w:val="434D27B4"/>
    <w:rsid w:val="43B271A8"/>
    <w:rsid w:val="46DA05DC"/>
    <w:rsid w:val="48A167C8"/>
    <w:rsid w:val="48D951BC"/>
    <w:rsid w:val="49C20652"/>
    <w:rsid w:val="4BE67950"/>
    <w:rsid w:val="4EE32812"/>
    <w:rsid w:val="4EF9C7C8"/>
    <w:rsid w:val="4F8C3B89"/>
    <w:rsid w:val="4FFFAAEA"/>
    <w:rsid w:val="50F25C6E"/>
    <w:rsid w:val="51450494"/>
    <w:rsid w:val="55BF7CA9"/>
    <w:rsid w:val="57A001D2"/>
    <w:rsid w:val="57BF12C9"/>
    <w:rsid w:val="57D77BC4"/>
    <w:rsid w:val="580544D9"/>
    <w:rsid w:val="587FCD8A"/>
    <w:rsid w:val="59154BEF"/>
    <w:rsid w:val="59F0314E"/>
    <w:rsid w:val="5A9304C2"/>
    <w:rsid w:val="5ABF4E13"/>
    <w:rsid w:val="5B71448F"/>
    <w:rsid w:val="5B8D5B61"/>
    <w:rsid w:val="5C205D85"/>
    <w:rsid w:val="5CD11679"/>
    <w:rsid w:val="5CD2262C"/>
    <w:rsid w:val="5CE9261B"/>
    <w:rsid w:val="5DB79F99"/>
    <w:rsid w:val="5DE02BC7"/>
    <w:rsid w:val="5E47387A"/>
    <w:rsid w:val="5E796BB2"/>
    <w:rsid w:val="5E8C1D87"/>
    <w:rsid w:val="5FBA3DFB"/>
    <w:rsid w:val="5FFC52E5"/>
    <w:rsid w:val="602E5A2D"/>
    <w:rsid w:val="61CD0F3C"/>
    <w:rsid w:val="628B265B"/>
    <w:rsid w:val="636D4BD3"/>
    <w:rsid w:val="64462101"/>
    <w:rsid w:val="66B8278B"/>
    <w:rsid w:val="67EDFB05"/>
    <w:rsid w:val="68563033"/>
    <w:rsid w:val="698A6279"/>
    <w:rsid w:val="6A156617"/>
    <w:rsid w:val="6B243F74"/>
    <w:rsid w:val="6CFF25D6"/>
    <w:rsid w:val="6DDE0116"/>
    <w:rsid w:val="6EB4C389"/>
    <w:rsid w:val="6EF7B692"/>
    <w:rsid w:val="6FBFAFF1"/>
    <w:rsid w:val="70090AB9"/>
    <w:rsid w:val="716E6058"/>
    <w:rsid w:val="72D5531D"/>
    <w:rsid w:val="72FF150D"/>
    <w:rsid w:val="73A072D2"/>
    <w:rsid w:val="73E765D7"/>
    <w:rsid w:val="741E6BF6"/>
    <w:rsid w:val="74543B6E"/>
    <w:rsid w:val="74616E03"/>
    <w:rsid w:val="74F47E51"/>
    <w:rsid w:val="75BBF8F4"/>
    <w:rsid w:val="75F7A051"/>
    <w:rsid w:val="76A1258B"/>
    <w:rsid w:val="76F94465"/>
    <w:rsid w:val="76FF005F"/>
    <w:rsid w:val="77267565"/>
    <w:rsid w:val="77DC611F"/>
    <w:rsid w:val="77E7C880"/>
    <w:rsid w:val="77F5255B"/>
    <w:rsid w:val="77FF6552"/>
    <w:rsid w:val="784964AE"/>
    <w:rsid w:val="78D7210E"/>
    <w:rsid w:val="7A293329"/>
    <w:rsid w:val="7A763B8C"/>
    <w:rsid w:val="7B246115"/>
    <w:rsid w:val="7B707B36"/>
    <w:rsid w:val="7CE567EB"/>
    <w:rsid w:val="7E7C7C71"/>
    <w:rsid w:val="7E7F7199"/>
    <w:rsid w:val="7EF94C8A"/>
    <w:rsid w:val="7F4461C4"/>
    <w:rsid w:val="7F7B07E6"/>
    <w:rsid w:val="7F8F1BA2"/>
    <w:rsid w:val="7FA8C796"/>
    <w:rsid w:val="7FDA7E75"/>
    <w:rsid w:val="7FFA0818"/>
    <w:rsid w:val="7FFE37D6"/>
    <w:rsid w:val="91FF756E"/>
    <w:rsid w:val="9BBBCF06"/>
    <w:rsid w:val="ABB7C823"/>
    <w:rsid w:val="AF0D3DCE"/>
    <w:rsid w:val="B1D7ABF9"/>
    <w:rsid w:val="B7F84604"/>
    <w:rsid w:val="BB65B4DB"/>
    <w:rsid w:val="BBBB2EEC"/>
    <w:rsid w:val="BFAF27D7"/>
    <w:rsid w:val="C97C85AE"/>
    <w:rsid w:val="CCFF3931"/>
    <w:rsid w:val="D7F744B9"/>
    <w:rsid w:val="D8F7DF24"/>
    <w:rsid w:val="DBDBBD5E"/>
    <w:rsid w:val="DFCD5EC1"/>
    <w:rsid w:val="E76F9F0E"/>
    <w:rsid w:val="E79FBD9C"/>
    <w:rsid w:val="E7D7F9B1"/>
    <w:rsid w:val="E9ADC4D5"/>
    <w:rsid w:val="EBBE3465"/>
    <w:rsid w:val="EFE74C85"/>
    <w:rsid w:val="EFFF7E9A"/>
    <w:rsid w:val="F2FBC54B"/>
    <w:rsid w:val="F3BFE22C"/>
    <w:rsid w:val="F7B6888B"/>
    <w:rsid w:val="F7F936FE"/>
    <w:rsid w:val="F7FB6EA0"/>
    <w:rsid w:val="FAFE8E1F"/>
    <w:rsid w:val="FB57190C"/>
    <w:rsid w:val="FBBD3909"/>
    <w:rsid w:val="FBBE868A"/>
    <w:rsid w:val="FBF9EE87"/>
    <w:rsid w:val="FCF78BF9"/>
    <w:rsid w:val="FE6AB555"/>
    <w:rsid w:val="FE9E6E46"/>
    <w:rsid w:val="FEFF55D7"/>
    <w:rsid w:val="FFCFBA9A"/>
    <w:rsid w:val="FFF639A2"/>
    <w:rsid w:val="FFFDAC54"/>
    <w:rsid w:val="FFFDDFC8"/>
    <w:rsid w:val="FFFF1FB6"/>
    <w:rsid w:val="FFFF7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6">
    <w:name w:val="heading 4"/>
    <w:basedOn w:val="1"/>
    <w:next w:val="1"/>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7">
    <w:name w:val="heading 5"/>
    <w:basedOn w:val="1"/>
    <w:next w:val="1"/>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8">
    <w:name w:val="heading 6"/>
    <w:basedOn w:val="1"/>
    <w:next w:val="1"/>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99"/>
  </w:style>
  <w:style w:type="paragraph" w:styleId="12">
    <w:name w:val="table of authorities"/>
    <w:basedOn w:val="1"/>
    <w:next w:val="1"/>
    <w:qFormat/>
    <w:uiPriority w:val="0"/>
    <w:pPr>
      <w:widowControl/>
      <w:wordWrap w:val="0"/>
      <w:spacing w:line="360" w:lineRule="auto"/>
      <w:ind w:left="420" w:leftChars="200" w:firstLine="200" w:firstLineChars="200"/>
      <w:jc w:val="left"/>
    </w:pPr>
    <w:rPr>
      <w:rFonts w:ascii="Calibri" w:hAnsi="Calibri" w:eastAsia="仿宋" w:cs="Times New Roman"/>
      <w:kern w:val="0"/>
      <w:sz w:val="24"/>
      <w:lang w:val="en" w:eastAsia="en-US"/>
    </w:rPr>
  </w:style>
  <w:style w:type="paragraph" w:styleId="13">
    <w:name w:val="Body Text"/>
    <w:basedOn w:val="1"/>
    <w:qFormat/>
    <w:uiPriority w:val="0"/>
    <w:pPr>
      <w:ind w:firstLine="1361" w:firstLineChars="200"/>
    </w:pPr>
    <w:rPr>
      <w:rFonts w:ascii="仿宋_GB2312" w:hAnsi="仿宋_GB2312" w:eastAsia="仿宋_GB2312" w:cs="仿宋_GB2312"/>
      <w:kern w:val="2"/>
      <w:sz w:val="32"/>
      <w:szCs w:val="32"/>
      <w:lang w:val="zh-CN" w:bidi="zh-CN"/>
    </w:rPr>
  </w:style>
  <w:style w:type="paragraph" w:styleId="14">
    <w:name w:val="Plain Text"/>
    <w:basedOn w:val="1"/>
    <w:qFormat/>
    <w:uiPriority w:val="0"/>
    <w:rPr>
      <w:rFonts w:ascii="宋体" w:hAnsi="Courier New"/>
      <w:kern w:val="0"/>
      <w:sz w:val="30"/>
      <w:szCs w:val="20"/>
    </w:rPr>
  </w:style>
  <w:style w:type="paragraph" w:styleId="15">
    <w:name w:val="Body Text Indent 2"/>
    <w:basedOn w:val="1"/>
    <w:next w:val="16"/>
    <w:qFormat/>
    <w:uiPriority w:val="0"/>
    <w:pPr>
      <w:ind w:firstLine="560"/>
      <w:jc w:val="left"/>
    </w:pPr>
    <w:rPr>
      <w:rFonts w:ascii="Times New Roman" w:hAnsi="Times New Roman"/>
      <w:sz w:val="28"/>
    </w:rPr>
  </w:style>
  <w:style w:type="paragraph" w:styleId="16">
    <w:name w:val="Normal (Web)"/>
    <w:basedOn w:val="1"/>
    <w:next w:val="1"/>
    <w:qFormat/>
    <w:uiPriority w:val="0"/>
    <w:pPr>
      <w:widowControl/>
      <w:spacing w:before="60" w:after="100" w:afterAutospacing="1"/>
      <w:ind w:left="300" w:right="225"/>
      <w:jc w:val="left"/>
    </w:pPr>
    <w:rPr>
      <w:rFonts w:ascii="宋体" w:hAnsi="宋体" w:cs="宋体"/>
      <w:kern w:val="0"/>
      <w:sz w:val="24"/>
    </w:rPr>
  </w:style>
  <w:style w:type="paragraph" w:styleId="17">
    <w:name w:val="Balloon Text"/>
    <w:basedOn w:val="1"/>
    <w:next w:val="1"/>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0">
    <w:name w:val="Title"/>
    <w:basedOn w:val="1"/>
    <w:next w:val="1"/>
    <w:qFormat/>
    <w:uiPriority w:val="0"/>
    <w:pPr>
      <w:spacing w:before="240" w:after="60"/>
      <w:jc w:val="center"/>
      <w:outlineLvl w:val="0"/>
    </w:pPr>
    <w:rPr>
      <w:rFonts w:asciiTheme="majorHAnsi" w:hAnsiTheme="majorHAnsi" w:eastAsiaTheme="majorEastAsia" w:cstheme="majorBidi"/>
      <w:b/>
      <w:bCs/>
      <w:sz w:val="32"/>
      <w:szCs w:val="32"/>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paragraph" w:customStyle="1" w:styleId="25">
    <w:name w:val="正文-公1"/>
    <w:basedOn w:val="26"/>
    <w:next w:val="27"/>
    <w:qFormat/>
    <w:uiPriority w:val="0"/>
    <w:pPr>
      <w:ind w:firstLine="200" w:firstLineChars="200"/>
    </w:pPr>
    <w:rPr>
      <w:rFonts w:ascii="Calibri" w:hAnsi="Calibri"/>
      <w:color w:val="000000"/>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5"/>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
    <w:name w:val="Normal (Web)1"/>
    <w:basedOn w:val="1"/>
    <w:next w:val="17"/>
    <w:qFormat/>
    <w:uiPriority w:val="0"/>
    <w:pPr>
      <w:widowControl/>
      <w:spacing w:before="100" w:beforeLines="0" w:beforeAutospacing="1" w:after="100" w:afterLines="0" w:afterAutospacing="1"/>
      <w:jc w:val="left"/>
    </w:pPr>
    <w:rPr>
      <w:rFonts w:ascii="宋体" w:hAnsi="宋体" w:cs="宋体"/>
      <w:kern w:val="0"/>
      <w:sz w:val="24"/>
    </w:rPr>
  </w:style>
  <w:style w:type="paragraph" w:styleId="28">
    <w:name w:val="List Paragraph"/>
    <w:basedOn w:val="1"/>
    <w:qFormat/>
    <w:uiPriority w:val="99"/>
    <w:pPr>
      <w:ind w:firstLine="420" w:firstLineChars="200"/>
    </w:pPr>
  </w:style>
  <w:style w:type="character" w:customStyle="1" w:styleId="29">
    <w:name w:val="font21"/>
    <w:basedOn w:val="23"/>
    <w:qFormat/>
    <w:uiPriority w:val="0"/>
    <w:rPr>
      <w:rFonts w:hint="eastAsia" w:ascii="宋体" w:hAnsi="宋体" w:eastAsia="宋体" w:cs="宋体"/>
      <w:b/>
      <w:bCs/>
      <w:color w:val="000000"/>
      <w:sz w:val="28"/>
      <w:szCs w:val="28"/>
      <w:u w:val="none"/>
    </w:rPr>
  </w:style>
  <w:style w:type="character" w:customStyle="1" w:styleId="30">
    <w:name w:val="font31"/>
    <w:basedOn w:val="23"/>
    <w:qFormat/>
    <w:uiPriority w:val="0"/>
    <w:rPr>
      <w:rFonts w:hint="default" w:ascii="仿宋_GB2312" w:eastAsia="仿宋_GB2312" w:cs="仿宋_GB2312"/>
      <w:color w:val="000000"/>
      <w:sz w:val="28"/>
      <w:szCs w:val="28"/>
      <w:u w:val="none"/>
    </w:rPr>
  </w:style>
  <w:style w:type="paragraph" w:customStyle="1" w:styleId="31">
    <w:name w:val="Colorful List - Accent 1"/>
    <w:basedOn w:val="1"/>
    <w:qFormat/>
    <w:uiPriority w:val="0"/>
    <w:pPr>
      <w:ind w:firstLine="200" w:firstLineChars="200"/>
    </w:pPr>
    <w:rPr>
      <w:rFonts w:ascii="Calibri" w:hAnsi="Calibri"/>
      <w:szCs w:val="22"/>
    </w:rPr>
  </w:style>
  <w:style w:type="character" w:customStyle="1" w:styleId="32">
    <w:name w:val="font11"/>
    <w:basedOn w:val="23"/>
    <w:qFormat/>
    <w:uiPriority w:val="0"/>
    <w:rPr>
      <w:rFonts w:hint="default" w:ascii="黑体" w:hAnsi="宋体" w:eastAsia="黑体" w:cs="黑体"/>
      <w:b/>
      <w:bCs/>
      <w:color w:val="000000"/>
      <w:sz w:val="18"/>
      <w:szCs w:val="18"/>
      <w:u w:val="none"/>
    </w:rPr>
  </w:style>
  <w:style w:type="paragraph" w:customStyle="1" w:styleId="33">
    <w:name w:val="正文文本首行缩进 22"/>
    <w:basedOn w:val="1"/>
    <w:qFormat/>
    <w:uiPriority w:val="0"/>
    <w:pPr>
      <w:ind w:left="100" w:leftChars="100" w:right="100" w:rightChars="100" w:firstLine="200" w:firstLineChars="200"/>
    </w:pPr>
    <w:rPr>
      <w:rFonts w:eastAsia="仿宋"/>
      <w:szCs w:val="44"/>
    </w:rPr>
  </w:style>
  <w:style w:type="paragraph" w:customStyle="1" w:styleId="34">
    <w:name w:val="标4"/>
    <w:basedOn w:val="6"/>
    <w:next w:val="1"/>
    <w:qFormat/>
    <w:uiPriority w:val="0"/>
    <w:pPr>
      <w:numPr>
        <w:ilvl w:val="0"/>
        <w:numId w:val="0"/>
      </w:numPr>
    </w:pPr>
    <w:rPr>
      <w:rFonts w:ascii="黑体" w:hAnsi="宋体"/>
    </w:rPr>
  </w:style>
  <w:style w:type="character" w:customStyle="1" w:styleId="35">
    <w:name w:val="font61"/>
    <w:basedOn w:val="23"/>
    <w:qFormat/>
    <w:uiPriority w:val="0"/>
    <w:rPr>
      <w:rFonts w:hint="eastAsia" w:ascii="宋体" w:hAnsi="宋体" w:eastAsia="宋体" w:cs="宋体"/>
      <w:color w:val="000000"/>
      <w:sz w:val="21"/>
      <w:szCs w:val="21"/>
      <w:u w:val="none"/>
    </w:rPr>
  </w:style>
  <w:style w:type="character" w:customStyle="1" w:styleId="36">
    <w:name w:val="font41"/>
    <w:basedOn w:val="23"/>
    <w:qFormat/>
    <w:uiPriority w:val="0"/>
    <w:rPr>
      <w:rFonts w:hint="default" w:ascii="等线" w:hAnsi="等线" w:eastAsia="等线" w:cs="等线"/>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6349</Words>
  <Characters>6470</Characters>
  <Lines>0</Lines>
  <Paragraphs>0</Paragraphs>
  <TotalTime>0</TotalTime>
  <ScaleCrop>false</ScaleCrop>
  <LinksUpToDate>false</LinksUpToDate>
  <CharactersWithSpaces>6487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2023-07-14T06:24:00Z</dcterms:created>
  <dc:creator>v</dc:creator>
  <cp:lastModifiedBy>饮冰怀火</cp:lastModifiedBy>
  <dcterms:modified xsi:type="dcterms:W3CDTF">2024-12-06T05:51:10Z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30B7CF8B5F9C48C3A01D456C1D133D4A_13</vt:lpwstr>
  </property>
</Properties>
</file>